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5BD47">
      <w:pPr>
        <w:rPr>
          <w:rFonts w:ascii="黑体" w:hAnsi="黑体" w:eastAsia="黑体" w:cs="黑体"/>
          <w:sz w:val="32"/>
          <w:szCs w:val="32"/>
          <w:highlight w:val="none"/>
          <w:u w:val="none"/>
        </w:rPr>
      </w:pPr>
      <w:r>
        <w:rPr>
          <w:rFonts w:hint="eastAsia" w:ascii="黑体" w:hAnsi="黑体" w:eastAsia="黑体" w:cs="黑体"/>
          <w:sz w:val="32"/>
          <w:szCs w:val="32"/>
          <w:highlight w:val="none"/>
          <w:u w:val="none"/>
        </w:rPr>
        <w:t>附件</w:t>
      </w:r>
      <w:r>
        <w:rPr>
          <w:rFonts w:hint="default" w:ascii="Times New Roman" w:hAnsi="Times New Roman" w:eastAsia="黑体" w:cs="Times New Roman"/>
          <w:sz w:val="32"/>
          <w:szCs w:val="32"/>
          <w:highlight w:val="none"/>
          <w:u w:val="none"/>
        </w:rPr>
        <w:t>1</w:t>
      </w:r>
      <w:bookmarkStart w:id="0" w:name="_Toc21225_WPSOffice_Level2"/>
      <w:bookmarkStart w:id="1" w:name="_Toc23425_WPSOffice_Level2"/>
      <w:bookmarkStart w:id="2" w:name="_Toc27377_WPSOffice_Level2"/>
      <w:bookmarkStart w:id="3" w:name="_Toc23326_WPSOffice_Level2"/>
    </w:p>
    <w:p w14:paraId="5DCE64F1">
      <w:pPr>
        <w:pStyle w:val="2"/>
        <w:adjustRightInd w:val="0"/>
        <w:snapToGrid w:val="0"/>
        <w:spacing w:before="0" w:after="0" w:line="680" w:lineRule="exact"/>
        <w:jc w:val="center"/>
        <w:rPr>
          <w:highlight w:val="none"/>
          <w:u w:val="none"/>
        </w:rPr>
      </w:pPr>
    </w:p>
    <w:p w14:paraId="31882533">
      <w:pPr>
        <w:pStyle w:val="2"/>
        <w:adjustRightInd w:val="0"/>
        <w:snapToGrid w:val="0"/>
        <w:spacing w:before="0" w:after="0" w:line="680" w:lineRule="exact"/>
        <w:jc w:val="center"/>
        <w:rPr>
          <w:rFonts w:hint="eastAsia" w:ascii="方正小标宋简体" w:hAnsi="方正小标宋简体" w:eastAsia="方正小标宋简体" w:cs="方正小标宋简体"/>
          <w:b w:val="0"/>
          <w:bCs w:val="0"/>
          <w:snapToGrid w:val="0"/>
          <w:kern w:val="0"/>
          <w:sz w:val="36"/>
          <w:szCs w:val="36"/>
          <w:highlight w:val="none"/>
          <w:u w:val="none"/>
        </w:rPr>
      </w:pPr>
      <w:r>
        <w:rPr>
          <w:rFonts w:hint="eastAsia" w:ascii="方正小标宋简体" w:hAnsi="方正小标宋简体" w:eastAsia="方正小标宋简体" w:cs="方正小标宋简体"/>
          <w:b w:val="0"/>
          <w:bCs w:val="0"/>
          <w:snapToGrid w:val="0"/>
          <w:kern w:val="0"/>
          <w:sz w:val="36"/>
          <w:szCs w:val="36"/>
          <w:highlight w:val="none"/>
          <w:u w:val="none"/>
        </w:rPr>
        <w:t>高校科技成果转化基金管理</w:t>
      </w:r>
      <w:bookmarkEnd w:id="0"/>
      <w:bookmarkEnd w:id="1"/>
      <w:bookmarkEnd w:id="2"/>
      <w:bookmarkEnd w:id="3"/>
      <w:bookmarkStart w:id="4" w:name="_Toc32252_WPSOffice_Level2"/>
      <w:bookmarkStart w:id="5" w:name="_Toc30318_WPSOffice_Level2"/>
      <w:bookmarkStart w:id="6" w:name="_Toc7163_WPSOffice_Level2"/>
      <w:bookmarkStart w:id="7" w:name="_Toc19879_WPSOffice_Level2"/>
      <w:r>
        <w:rPr>
          <w:rFonts w:hint="eastAsia" w:ascii="方正小标宋简体" w:hAnsi="方正小标宋简体" w:eastAsia="方正小标宋简体" w:cs="方正小标宋简体"/>
          <w:b w:val="0"/>
          <w:bCs w:val="0"/>
          <w:snapToGrid w:val="0"/>
          <w:kern w:val="0"/>
          <w:sz w:val="36"/>
          <w:szCs w:val="36"/>
          <w:highlight w:val="none"/>
          <w:u w:val="none"/>
          <w:lang w:val="en-US" w:eastAsia="zh-CN"/>
        </w:rPr>
        <w:t>机构</w:t>
      </w:r>
      <w:r>
        <w:rPr>
          <w:rFonts w:hint="eastAsia" w:ascii="方正小标宋简体" w:hAnsi="方正小标宋简体" w:eastAsia="方正小标宋简体" w:cs="方正小标宋简体"/>
          <w:b w:val="0"/>
          <w:bCs w:val="0"/>
          <w:snapToGrid w:val="0"/>
          <w:kern w:val="0"/>
          <w:sz w:val="36"/>
          <w:szCs w:val="36"/>
          <w:highlight w:val="none"/>
          <w:u w:val="none"/>
        </w:rPr>
        <w:t>申报指引</w:t>
      </w:r>
      <w:bookmarkEnd w:id="4"/>
      <w:bookmarkEnd w:id="5"/>
      <w:bookmarkEnd w:id="6"/>
      <w:bookmarkEnd w:id="7"/>
    </w:p>
    <w:p w14:paraId="76FC9C42">
      <w:pPr>
        <w:adjustRightInd w:val="0"/>
        <w:snapToGrid w:val="0"/>
        <w:spacing w:line="580" w:lineRule="exact"/>
        <w:rPr>
          <w:highlight w:val="none"/>
          <w:u w:val="none"/>
        </w:rPr>
      </w:pPr>
    </w:p>
    <w:p w14:paraId="51A0C165">
      <w:pPr>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为促进以清华大学为代表的高校</w:t>
      </w:r>
      <w:r>
        <w:rPr>
          <w:rFonts w:hint="eastAsia" w:ascii="仿宋_GB2312" w:hAnsi="仿宋_GB2312" w:eastAsia="仿宋_GB2312" w:cs="仿宋_GB2312"/>
          <w:sz w:val="32"/>
          <w:szCs w:val="32"/>
          <w:highlight w:val="none"/>
          <w:u w:val="none"/>
          <w:lang w:val="en-US" w:eastAsia="zh-CN"/>
        </w:rPr>
        <w:t>及</w:t>
      </w:r>
      <w:r>
        <w:rPr>
          <w:rFonts w:hint="eastAsia" w:ascii="仿宋_GB2312" w:hAnsi="仿宋_GB2312" w:eastAsia="仿宋_GB2312" w:cs="仿宋_GB2312"/>
          <w:sz w:val="32"/>
          <w:szCs w:val="32"/>
          <w:highlight w:val="none"/>
          <w:u w:val="none"/>
        </w:rPr>
        <w:t>科研院所</w:t>
      </w:r>
      <w:r>
        <w:rPr>
          <w:rFonts w:hint="eastAsia" w:ascii="仿宋_GB2312" w:hAnsi="仿宋_GB2312" w:eastAsia="仿宋_GB2312" w:cs="仿宋_GB2312"/>
          <w:sz w:val="32"/>
          <w:szCs w:val="32"/>
          <w:highlight w:val="none"/>
          <w:u w:val="none"/>
          <w:lang w:val="en-US" w:eastAsia="zh-CN"/>
        </w:rPr>
        <w:t>的</w:t>
      </w:r>
      <w:r>
        <w:rPr>
          <w:rFonts w:hint="eastAsia" w:ascii="仿宋_GB2312" w:hAnsi="仿宋_GB2312" w:eastAsia="仿宋_GB2312" w:cs="仿宋_GB2312"/>
          <w:sz w:val="32"/>
          <w:szCs w:val="32"/>
          <w:highlight w:val="none"/>
          <w:u w:val="none"/>
        </w:rPr>
        <w:t>科技成果转化应用，借助高校和科研院所的科技成果资源优势，赋能四川省产业升级发展，培育新质生产力，</w:t>
      </w:r>
      <w:r>
        <w:rPr>
          <w:rFonts w:hint="eastAsia" w:ascii="仿宋_GB2312" w:hAnsi="仿宋_GB2312" w:eastAsia="仿宋_GB2312" w:cs="仿宋_GB2312"/>
          <w:sz w:val="32"/>
          <w:szCs w:val="32"/>
          <w:highlight w:val="none"/>
          <w:u w:val="none"/>
          <w:lang w:val="en-US" w:eastAsia="zh-CN"/>
        </w:rPr>
        <w:t>四川省国资委牵头</w:t>
      </w:r>
      <w:r>
        <w:rPr>
          <w:rFonts w:hint="eastAsia" w:ascii="仿宋_GB2312" w:hAnsi="仿宋_GB2312" w:eastAsia="仿宋_GB2312" w:cs="仿宋_GB2312"/>
          <w:sz w:val="32"/>
          <w:szCs w:val="32"/>
          <w:highlight w:val="none"/>
          <w:u w:val="none"/>
        </w:rPr>
        <w:t>组建高校科技成果转化基金（暂定名，以登记机关最终核准登记名称为准）。现按照公平公开的原则，</w:t>
      </w:r>
      <w:r>
        <w:rPr>
          <w:rFonts w:hint="eastAsia" w:ascii="仿宋_GB2312" w:hAnsi="仿宋_GB2312" w:eastAsia="仿宋_GB2312" w:cs="仿宋_GB2312"/>
          <w:snapToGrid w:val="0"/>
          <w:kern w:val="0"/>
          <w:sz w:val="32"/>
          <w:szCs w:val="32"/>
          <w:highlight w:val="none"/>
          <w:u w:val="none"/>
        </w:rPr>
        <w:t>面向全国公开遴选</w:t>
      </w:r>
      <w:r>
        <w:rPr>
          <w:rFonts w:hint="eastAsia" w:ascii="仿宋_GB2312" w:hAnsi="仿宋_GB2312" w:eastAsia="仿宋_GB2312" w:cs="仿宋_GB2312"/>
          <w:sz w:val="32"/>
          <w:szCs w:val="32"/>
          <w:highlight w:val="none"/>
          <w:u w:val="none"/>
        </w:rPr>
        <w:t>首期基金的基金管理</w:t>
      </w:r>
      <w:r>
        <w:rPr>
          <w:rFonts w:hint="eastAsia" w:ascii="仿宋_GB2312" w:hAnsi="仿宋_GB2312" w:eastAsia="仿宋_GB2312" w:cs="仿宋_GB2312"/>
          <w:snapToGrid/>
          <w:kern w:val="2"/>
          <w:sz w:val="32"/>
          <w:szCs w:val="32"/>
          <w:highlight w:val="none"/>
          <w:u w:val="none"/>
          <w:lang w:val="en-US" w:eastAsia="zh-CN"/>
        </w:rPr>
        <w:t>机构</w:t>
      </w:r>
      <w:r>
        <w:rPr>
          <w:rFonts w:hint="eastAsia" w:ascii="仿宋_GB2312" w:hAnsi="仿宋_GB2312" w:eastAsia="仿宋_GB2312" w:cs="仿宋_GB2312"/>
          <w:sz w:val="32"/>
          <w:szCs w:val="32"/>
          <w:highlight w:val="none"/>
          <w:u w:val="none"/>
        </w:rPr>
        <w:t>。</w:t>
      </w:r>
    </w:p>
    <w:p w14:paraId="12DBCE64">
      <w:pPr>
        <w:adjustRightInd w:val="0"/>
        <w:snapToGrid w:val="0"/>
        <w:spacing w:line="580" w:lineRule="exact"/>
        <w:ind w:firstLine="640"/>
        <w:rPr>
          <w:rFonts w:ascii="黑体" w:hAnsi="黑体" w:eastAsia="黑体" w:cs="黑体"/>
          <w:sz w:val="32"/>
          <w:szCs w:val="32"/>
          <w:highlight w:val="none"/>
          <w:u w:val="none"/>
        </w:rPr>
      </w:pPr>
      <w:bookmarkStart w:id="8" w:name="_Toc1668_WPSOffice_Level1"/>
      <w:bookmarkStart w:id="9" w:name="_Toc20864_WPSOffice_Level1"/>
      <w:bookmarkStart w:id="10" w:name="_Toc27083_WPSOffice_Level1"/>
      <w:bookmarkStart w:id="11" w:name="_Toc30921_WPSOffice_Level1"/>
      <w:r>
        <w:rPr>
          <w:rFonts w:hint="eastAsia" w:ascii="黑体" w:hAnsi="黑体" w:eastAsia="黑体" w:cs="黑体"/>
          <w:sz w:val="32"/>
          <w:szCs w:val="32"/>
          <w:highlight w:val="none"/>
          <w:u w:val="none"/>
        </w:rPr>
        <w:t>一、</w:t>
      </w:r>
      <w:bookmarkEnd w:id="8"/>
      <w:bookmarkEnd w:id="9"/>
      <w:bookmarkEnd w:id="10"/>
      <w:bookmarkEnd w:id="11"/>
      <w:r>
        <w:rPr>
          <w:rFonts w:hint="eastAsia" w:ascii="黑体" w:hAnsi="黑体" w:eastAsia="黑体" w:cs="黑体"/>
          <w:sz w:val="32"/>
          <w:szCs w:val="32"/>
          <w:highlight w:val="none"/>
          <w:u w:val="none"/>
        </w:rPr>
        <w:t>基金情况介绍</w:t>
      </w:r>
    </w:p>
    <w:p w14:paraId="2A5CA224">
      <w:pPr>
        <w:adjustRightInd w:val="0"/>
        <w:snapToGrid w:val="0"/>
        <w:spacing w:line="580" w:lineRule="exact"/>
        <w:ind w:firstLine="640"/>
        <w:rPr>
          <w:rFonts w:ascii="楷体_GB2312" w:hAnsi="楷体_GB2312" w:eastAsia="楷体_GB2312" w:cs="楷体_GB2312"/>
          <w:sz w:val="32"/>
          <w:szCs w:val="32"/>
          <w:highlight w:val="none"/>
          <w:u w:val="none"/>
          <w:lang w:bidi="ar"/>
        </w:rPr>
      </w:pPr>
      <w:r>
        <w:rPr>
          <w:rFonts w:hint="eastAsia" w:ascii="楷体_GB2312" w:hAnsi="楷体_GB2312" w:eastAsia="楷体_GB2312" w:cs="楷体_GB2312"/>
          <w:sz w:val="32"/>
          <w:szCs w:val="32"/>
          <w:highlight w:val="none"/>
          <w:u w:val="none"/>
          <w:lang w:bidi="ar"/>
        </w:rPr>
        <w:t>（一）基金组建背景</w:t>
      </w:r>
    </w:p>
    <w:p w14:paraId="63D62EBD">
      <w:pPr>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为</w:t>
      </w:r>
      <w:r>
        <w:rPr>
          <w:rFonts w:hint="eastAsia" w:ascii="仿宋_GB2312" w:hAnsi="仿宋_GB2312" w:eastAsia="仿宋_GB2312" w:cs="仿宋_GB2312"/>
          <w:sz w:val="32"/>
          <w:szCs w:val="32"/>
          <w:highlight w:val="none"/>
          <w:u w:val="none"/>
          <w:lang w:val="en-US" w:eastAsia="zh-CN"/>
        </w:rPr>
        <w:t>进一步</w:t>
      </w:r>
      <w:r>
        <w:rPr>
          <w:rFonts w:hint="eastAsia" w:ascii="仿宋_GB2312" w:hAnsi="仿宋_GB2312" w:eastAsia="仿宋_GB2312" w:cs="仿宋_GB2312"/>
          <w:sz w:val="32"/>
          <w:szCs w:val="32"/>
          <w:highlight w:val="none"/>
          <w:u w:val="none"/>
        </w:rPr>
        <w:t>贯彻落实</w:t>
      </w:r>
      <w:r>
        <w:rPr>
          <w:rFonts w:hint="default" w:ascii="Times New Roman" w:hAnsi="Times New Roman" w:eastAsia="仿宋_GB2312" w:cs="Times New Roman"/>
          <w:sz w:val="32"/>
          <w:szCs w:val="32"/>
          <w:highlight w:val="none"/>
          <w:u w:val="none"/>
        </w:rPr>
        <w:t>2023</w:t>
      </w:r>
      <w:r>
        <w:rPr>
          <w:rFonts w:hint="eastAsia" w:ascii="仿宋_GB2312" w:hAnsi="仿宋_GB2312" w:eastAsia="仿宋_GB2312" w:cs="仿宋_GB2312"/>
          <w:sz w:val="32"/>
          <w:szCs w:val="32"/>
          <w:highlight w:val="none"/>
          <w:u w:val="none"/>
        </w:rPr>
        <w:t>年</w:t>
      </w:r>
      <w:r>
        <w:rPr>
          <w:rFonts w:hint="default" w:ascii="Times New Roman" w:hAnsi="Times New Roman" w:eastAsia="仿宋_GB2312" w:cs="Times New Roman"/>
          <w:sz w:val="32"/>
          <w:szCs w:val="32"/>
          <w:highlight w:val="none"/>
          <w:u w:val="none"/>
        </w:rPr>
        <w:t>3</w:t>
      </w:r>
      <w:r>
        <w:rPr>
          <w:rFonts w:hint="eastAsia" w:ascii="仿宋_GB2312" w:hAnsi="仿宋_GB2312" w:eastAsia="仿宋_GB2312" w:cs="仿宋_GB2312"/>
          <w:sz w:val="32"/>
          <w:szCs w:val="32"/>
          <w:highlight w:val="none"/>
          <w:u w:val="none"/>
        </w:rPr>
        <w:t>月</w:t>
      </w:r>
      <w:r>
        <w:rPr>
          <w:rFonts w:hint="default" w:ascii="Times New Roman" w:hAnsi="Times New Roman" w:eastAsia="仿宋_GB2312" w:cs="Times New Roman"/>
          <w:sz w:val="32"/>
          <w:szCs w:val="32"/>
          <w:highlight w:val="none"/>
          <w:u w:val="none"/>
        </w:rPr>
        <w:t>15</w:t>
      </w:r>
      <w:r>
        <w:rPr>
          <w:rFonts w:hint="eastAsia" w:ascii="仿宋_GB2312" w:hAnsi="仿宋_GB2312" w:eastAsia="仿宋_GB2312" w:cs="仿宋_GB2312"/>
          <w:sz w:val="32"/>
          <w:szCs w:val="32"/>
          <w:highlight w:val="none"/>
          <w:u w:val="none"/>
        </w:rPr>
        <w:t>日四川省人民政府与清华大学深化合作协议</w:t>
      </w:r>
      <w:r>
        <w:rPr>
          <w:rFonts w:hint="eastAsia" w:ascii="仿宋_GB2312" w:hAnsi="仿宋_GB2312" w:eastAsia="仿宋_GB2312" w:cs="仿宋_GB2312"/>
          <w:sz w:val="32"/>
          <w:szCs w:val="32"/>
          <w:highlight w:val="none"/>
          <w:u w:val="none"/>
          <w:lang w:val="en-US" w:eastAsia="zh-CN"/>
        </w:rPr>
        <w:t>精神</w:t>
      </w:r>
      <w:r>
        <w:rPr>
          <w:rFonts w:hint="eastAsia" w:ascii="仿宋_GB2312" w:hAnsi="仿宋_GB2312" w:eastAsia="仿宋_GB2312" w:cs="仿宋_GB2312"/>
          <w:sz w:val="32"/>
          <w:szCs w:val="32"/>
          <w:highlight w:val="none"/>
          <w:u w:val="none"/>
        </w:rPr>
        <w:t>，四川省国资委牵头组建高校科技成果转化基金，专项支持高校科技项目研发、孵化及产业化，推动重大关键技术优先在基金平台孵化并落地转化，培育战略性新兴产业集群，共同打造国家战略科技力量。此次组建基金是为服务以清华大学为代表的高校和科研院所科技成果转化，并借助高校和科研院所的科技成果资源优势，促进四川省产业创新水平提升，赋能四川省现代化体系建设，培育新质生产力。</w:t>
      </w:r>
    </w:p>
    <w:p w14:paraId="6ED425B9">
      <w:pPr>
        <w:adjustRightInd w:val="0"/>
        <w:snapToGrid w:val="0"/>
        <w:spacing w:line="580" w:lineRule="exact"/>
        <w:ind w:firstLine="640"/>
        <w:rPr>
          <w:rFonts w:ascii="楷体_GB2312" w:hAnsi="楷体_GB2312" w:eastAsia="楷体_GB2312" w:cs="楷体_GB2312"/>
          <w:sz w:val="32"/>
          <w:szCs w:val="32"/>
          <w:highlight w:val="none"/>
          <w:u w:val="none"/>
          <w:lang w:bidi="ar"/>
        </w:rPr>
      </w:pPr>
      <w:r>
        <w:rPr>
          <w:rFonts w:hint="eastAsia" w:ascii="楷体_GB2312" w:hAnsi="楷体_GB2312" w:eastAsia="楷体_GB2312" w:cs="楷体_GB2312"/>
          <w:sz w:val="32"/>
          <w:szCs w:val="32"/>
          <w:highlight w:val="none"/>
          <w:u w:val="none"/>
          <w:lang w:bidi="ar"/>
        </w:rPr>
        <w:t>（二）基金目标定位</w:t>
      </w:r>
    </w:p>
    <w:p w14:paraId="27673D2A">
      <w:pPr>
        <w:adjustRightInd w:val="0"/>
        <w:snapToGrid w:val="0"/>
        <w:spacing w:line="580" w:lineRule="exact"/>
        <w:ind w:firstLine="640"/>
        <w:rPr>
          <w:rFonts w:ascii="仿宋_GB2312" w:hAnsi="仿宋_GB2312" w:eastAsia="仿宋_GB2312" w:cs="仿宋_GB2312"/>
          <w:color w:val="000000"/>
          <w:kern w:val="0"/>
          <w:sz w:val="32"/>
          <w:szCs w:val="32"/>
          <w:highlight w:val="none"/>
          <w:u w:val="none"/>
        </w:rPr>
      </w:pPr>
      <w:r>
        <w:rPr>
          <w:rFonts w:hint="eastAsia" w:ascii="仿宋_GB2312" w:hAnsi="仿宋_GB2312" w:eastAsia="仿宋_GB2312" w:cs="仿宋_GB2312"/>
          <w:sz w:val="32"/>
          <w:szCs w:val="32"/>
          <w:highlight w:val="none"/>
          <w:u w:val="none"/>
        </w:rPr>
        <w:t>基金依托高校、科研院所等科技创新源头，借助社会资本的优势资源形成合力，在基金定位和实际投资工作中</w:t>
      </w:r>
      <w:r>
        <w:rPr>
          <w:rFonts w:hint="eastAsia" w:ascii="仿宋_GB2312" w:hAnsi="仿宋_GB2312" w:eastAsia="仿宋_GB2312" w:cs="仿宋_GB2312"/>
          <w:sz w:val="32"/>
          <w:szCs w:val="32"/>
          <w:highlight w:val="none"/>
          <w:u w:val="none"/>
          <w:lang w:val="en-US" w:eastAsia="zh-CN"/>
        </w:rPr>
        <w:t>应</w:t>
      </w:r>
      <w:r>
        <w:rPr>
          <w:rFonts w:hint="eastAsia" w:ascii="仿宋_GB2312" w:hAnsi="仿宋_GB2312" w:eastAsia="仿宋_GB2312" w:cs="仿宋_GB2312"/>
          <w:sz w:val="32"/>
          <w:szCs w:val="32"/>
          <w:highlight w:val="none"/>
          <w:u w:val="none"/>
        </w:rPr>
        <w:t>把握“三个面向”：一</w:t>
      </w:r>
      <w:r>
        <w:rPr>
          <w:rFonts w:hint="eastAsia" w:ascii="仿宋_GB2312" w:hAnsi="仿宋_GB2312" w:eastAsia="仿宋_GB2312" w:cs="仿宋_GB2312"/>
          <w:sz w:val="32"/>
          <w:szCs w:val="32"/>
          <w:highlight w:val="none"/>
          <w:u w:val="none"/>
          <w:lang w:val="en-US" w:eastAsia="zh-CN"/>
        </w:rPr>
        <w:t>是</w:t>
      </w:r>
      <w:r>
        <w:rPr>
          <w:rFonts w:hint="eastAsia" w:ascii="仿宋_GB2312" w:hAnsi="仿宋_GB2312" w:eastAsia="仿宋_GB2312" w:cs="仿宋_GB2312"/>
          <w:sz w:val="32"/>
          <w:szCs w:val="32"/>
          <w:highlight w:val="none"/>
          <w:u w:val="none"/>
        </w:rPr>
        <w:t>面向高端“硬科技”，投资具备关键核心技术、“卡脖子”技术项目；二</w:t>
      </w:r>
      <w:r>
        <w:rPr>
          <w:rFonts w:hint="eastAsia" w:ascii="仿宋_GB2312" w:hAnsi="仿宋_GB2312" w:eastAsia="仿宋_GB2312" w:cs="仿宋_GB2312"/>
          <w:sz w:val="32"/>
          <w:szCs w:val="32"/>
          <w:highlight w:val="none"/>
          <w:u w:val="none"/>
          <w:lang w:val="en-US" w:eastAsia="zh-CN"/>
        </w:rPr>
        <w:t>是</w:t>
      </w:r>
      <w:r>
        <w:rPr>
          <w:rFonts w:hint="eastAsia" w:ascii="仿宋_GB2312" w:hAnsi="仿宋_GB2312" w:eastAsia="仿宋_GB2312" w:cs="仿宋_GB2312"/>
          <w:sz w:val="32"/>
          <w:szCs w:val="32"/>
          <w:highlight w:val="none"/>
          <w:u w:val="none"/>
        </w:rPr>
        <w:t>面向原始创新，投资在前沿、原创性尖端技术领域，支持具备原始创新要素的早期科技创新项目，激发原始创新活力；三</w:t>
      </w:r>
      <w:r>
        <w:rPr>
          <w:rFonts w:hint="eastAsia" w:ascii="仿宋_GB2312" w:hAnsi="仿宋_GB2312" w:eastAsia="仿宋_GB2312" w:cs="仿宋_GB2312"/>
          <w:sz w:val="32"/>
          <w:szCs w:val="32"/>
          <w:highlight w:val="none"/>
          <w:u w:val="none"/>
          <w:lang w:val="en-US" w:eastAsia="zh-CN"/>
        </w:rPr>
        <w:t>是</w:t>
      </w:r>
      <w:r>
        <w:rPr>
          <w:rFonts w:hint="eastAsia" w:ascii="仿宋_GB2312" w:hAnsi="仿宋_GB2312" w:eastAsia="仿宋_GB2312" w:cs="仿宋_GB2312"/>
          <w:sz w:val="32"/>
          <w:szCs w:val="32"/>
          <w:highlight w:val="none"/>
          <w:u w:val="none"/>
        </w:rPr>
        <w:t>面向成果落地，锚定四川省特色优势产业、战略性新兴产业和未来产业，以投促引推动契合四川省产业发展所需的高端科技成果落地，推动优化调整产业结构，提升地方产业创新水平。</w:t>
      </w:r>
      <w:r>
        <w:rPr>
          <w:rFonts w:hint="eastAsia" w:ascii="仿宋_GB2312" w:hAnsi="仿宋_GB2312" w:eastAsia="仿宋_GB2312" w:cs="仿宋_GB2312"/>
          <w:sz w:val="32"/>
          <w:szCs w:val="32"/>
          <w:highlight w:val="none"/>
          <w:u w:val="none"/>
          <w:lang w:val="en-US" w:eastAsia="zh-CN"/>
        </w:rPr>
        <w:t>最终实现基金平台孵化培育功能的充分发挥，促进高校、科研院所原始科技创新、科技成果转化，服务四川省现代化产业体系建设。</w:t>
      </w:r>
    </w:p>
    <w:p w14:paraId="60C98D70">
      <w:pPr>
        <w:adjustRightInd w:val="0"/>
        <w:snapToGrid w:val="0"/>
        <w:spacing w:line="580" w:lineRule="exact"/>
        <w:ind w:firstLine="640"/>
        <w:rPr>
          <w:rFonts w:ascii="楷体_GB2312" w:hAnsi="楷体_GB2312" w:eastAsia="楷体_GB2312" w:cs="楷体_GB2312"/>
          <w:sz w:val="32"/>
          <w:szCs w:val="32"/>
          <w:highlight w:val="none"/>
          <w:u w:val="none"/>
          <w:lang w:bidi="ar"/>
        </w:rPr>
      </w:pPr>
      <w:r>
        <w:rPr>
          <w:rFonts w:hint="eastAsia" w:ascii="楷体_GB2312" w:hAnsi="楷体_GB2312" w:eastAsia="楷体_GB2312" w:cs="楷体_GB2312"/>
          <w:sz w:val="32"/>
          <w:szCs w:val="32"/>
          <w:highlight w:val="none"/>
          <w:u w:val="none"/>
          <w:lang w:bidi="ar"/>
        </w:rPr>
        <w:t>（三）整体组建思路</w:t>
      </w:r>
    </w:p>
    <w:p w14:paraId="59CB9A73">
      <w:pPr>
        <w:adjustRightInd w:val="0"/>
        <w:snapToGrid w:val="0"/>
        <w:spacing w:line="580" w:lineRule="exact"/>
        <w:ind w:firstLine="640"/>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rPr>
        <w:t>基金总规模</w:t>
      </w:r>
      <w:r>
        <w:rPr>
          <w:rFonts w:hint="default" w:ascii="Times New Roman" w:hAnsi="Times New Roman" w:eastAsia="仿宋_GB2312" w:cs="Times New Roman"/>
          <w:sz w:val="32"/>
          <w:szCs w:val="32"/>
          <w:highlight w:val="none"/>
          <w:u w:val="none"/>
        </w:rPr>
        <w:t>100</w:t>
      </w:r>
      <w:r>
        <w:rPr>
          <w:rFonts w:hint="eastAsia" w:ascii="仿宋_GB2312" w:hAnsi="仿宋_GB2312" w:eastAsia="仿宋_GB2312" w:cs="仿宋_GB2312"/>
          <w:sz w:val="32"/>
          <w:szCs w:val="32"/>
          <w:highlight w:val="none"/>
          <w:u w:val="none"/>
        </w:rPr>
        <w:t>亿元，首期</w:t>
      </w:r>
      <w:r>
        <w:rPr>
          <w:rFonts w:hint="eastAsia" w:ascii="仿宋_GB2312" w:hAnsi="仿宋_GB2312" w:eastAsia="仿宋_GB2312" w:cs="仿宋_GB2312"/>
          <w:sz w:val="32"/>
          <w:szCs w:val="32"/>
          <w:highlight w:val="none"/>
          <w:u w:val="none"/>
          <w:lang w:val="en-US" w:eastAsia="zh-CN"/>
        </w:rPr>
        <w:t>目标</w:t>
      </w:r>
      <w:r>
        <w:rPr>
          <w:rFonts w:hint="eastAsia" w:ascii="仿宋_GB2312" w:hAnsi="仿宋_GB2312" w:eastAsia="仿宋_GB2312" w:cs="仿宋_GB2312"/>
          <w:sz w:val="32"/>
          <w:szCs w:val="32"/>
          <w:highlight w:val="none"/>
          <w:u w:val="none"/>
        </w:rPr>
        <w:t>规模</w:t>
      </w:r>
      <w:r>
        <w:rPr>
          <w:rFonts w:hint="default" w:ascii="Times New Roman" w:hAnsi="Times New Roman" w:eastAsia="仿宋_GB2312" w:cs="Times New Roman"/>
          <w:sz w:val="32"/>
          <w:szCs w:val="32"/>
          <w:highlight w:val="none"/>
          <w:u w:val="none"/>
        </w:rPr>
        <w:t>30</w:t>
      </w:r>
      <w:r>
        <w:rPr>
          <w:rFonts w:hint="eastAsia" w:ascii="仿宋_GB2312" w:hAnsi="仿宋_GB2312" w:eastAsia="仿宋_GB2312" w:cs="仿宋_GB2312"/>
          <w:sz w:val="32"/>
          <w:szCs w:val="32"/>
          <w:highlight w:val="none"/>
          <w:u w:val="none"/>
        </w:rPr>
        <w:t>亿元，出资主体为多家四川省属国企和部分市州</w:t>
      </w:r>
      <w:r>
        <w:rPr>
          <w:rFonts w:hint="eastAsia" w:ascii="仿宋_GB2312" w:hAnsi="仿宋_GB2312" w:eastAsia="仿宋_GB2312" w:cs="仿宋_GB2312"/>
          <w:sz w:val="32"/>
          <w:szCs w:val="32"/>
          <w:highlight w:val="none"/>
          <w:u w:val="none"/>
          <w:lang w:val="en-US" w:eastAsia="zh-CN"/>
        </w:rPr>
        <w:t>国企</w:t>
      </w:r>
      <w:r>
        <w:rPr>
          <w:rFonts w:hint="eastAsia" w:ascii="仿宋_GB2312" w:hAnsi="仿宋_GB2312" w:eastAsia="仿宋_GB2312" w:cs="仿宋_GB2312"/>
          <w:sz w:val="32"/>
          <w:szCs w:val="32"/>
          <w:highlight w:val="none"/>
          <w:u w:val="none"/>
        </w:rPr>
        <w:t>，目前首期资金已基本落实。基金重点聚焦以清华大学为代表的高校和科研院所科技成果转化项目，围绕四川省“</w:t>
      </w:r>
      <w:r>
        <w:rPr>
          <w:rFonts w:hint="default" w:ascii="Times New Roman" w:hAnsi="Times New Roman" w:eastAsia="仿宋_GB2312" w:cs="Times New Roman"/>
          <w:sz w:val="32"/>
          <w:szCs w:val="32"/>
          <w:highlight w:val="none"/>
          <w:u w:val="none"/>
        </w:rPr>
        <w:t>6</w:t>
      </w:r>
      <w:r>
        <w:rPr>
          <w:rFonts w:hint="eastAsia" w:ascii="仿宋_GB2312" w:hAnsi="仿宋_GB2312" w:eastAsia="仿宋_GB2312" w:cs="仿宋_GB2312"/>
          <w:sz w:val="32"/>
          <w:szCs w:val="32"/>
          <w:highlight w:val="none"/>
          <w:u w:val="none"/>
        </w:rPr>
        <w:t>+</w:t>
      </w:r>
      <w:r>
        <w:rPr>
          <w:rFonts w:hint="default" w:ascii="Times New Roman" w:hAnsi="Times New Roman" w:eastAsia="仿宋_GB2312" w:cs="Times New Roman"/>
          <w:sz w:val="32"/>
          <w:szCs w:val="32"/>
          <w:highlight w:val="none"/>
          <w:u w:val="none"/>
        </w:rPr>
        <w:t>4</w:t>
      </w:r>
      <w:r>
        <w:rPr>
          <w:rFonts w:hint="eastAsia" w:ascii="仿宋_GB2312" w:hAnsi="仿宋_GB2312" w:eastAsia="仿宋_GB2312" w:cs="仿宋_GB2312"/>
          <w:sz w:val="32"/>
          <w:szCs w:val="32"/>
          <w:highlight w:val="none"/>
          <w:u w:val="none"/>
        </w:rPr>
        <w:t>+</w:t>
      </w:r>
      <w:r>
        <w:rPr>
          <w:rFonts w:hint="default" w:ascii="Times New Roman" w:hAnsi="Times New Roman" w:eastAsia="仿宋_GB2312" w:cs="Times New Roman"/>
          <w:sz w:val="32"/>
          <w:szCs w:val="32"/>
          <w:highlight w:val="none"/>
          <w:u w:val="none"/>
        </w:rPr>
        <w:t>3</w:t>
      </w:r>
      <w:r>
        <w:rPr>
          <w:rFonts w:hint="eastAsia" w:ascii="仿宋_GB2312" w:hAnsi="仿宋_GB2312" w:eastAsia="仿宋_GB2312" w:cs="仿宋_GB2312"/>
          <w:sz w:val="32"/>
          <w:szCs w:val="32"/>
          <w:highlight w:val="none"/>
          <w:u w:val="none"/>
        </w:rPr>
        <w:t>”产业，并结合省内主要出资人产业发展需求，投资布局人工智能、新能源、先进材料、电子信息、高端装备制造、生物医药、未来交通等领域，并</w:t>
      </w:r>
      <w:r>
        <w:rPr>
          <w:rFonts w:hint="eastAsia" w:ascii="仿宋_GB2312" w:hAnsi="仿宋_GB2312" w:eastAsia="仿宋_GB2312" w:cs="仿宋_GB2312"/>
          <w:sz w:val="32"/>
          <w:szCs w:val="32"/>
          <w:highlight w:val="none"/>
          <w:u w:val="none"/>
          <w:lang w:val="en-US" w:eastAsia="zh-CN"/>
        </w:rPr>
        <w:t>优先考虑</w:t>
      </w:r>
      <w:r>
        <w:rPr>
          <w:rFonts w:hint="eastAsia" w:ascii="仿宋_GB2312" w:hAnsi="仿宋_GB2312" w:eastAsia="仿宋_GB2312" w:cs="仿宋_GB2312"/>
          <w:sz w:val="32"/>
          <w:szCs w:val="32"/>
          <w:highlight w:val="none"/>
          <w:u w:val="none"/>
        </w:rPr>
        <w:t>在</w:t>
      </w:r>
      <w:r>
        <w:rPr>
          <w:rFonts w:hint="eastAsia" w:ascii="仿宋_GB2312" w:hAnsi="仿宋_GB2312" w:eastAsia="仿宋_GB2312" w:cs="仿宋_GB2312"/>
          <w:sz w:val="32"/>
          <w:szCs w:val="32"/>
          <w:highlight w:val="none"/>
          <w:u w:val="none"/>
          <w:lang w:val="en-US" w:eastAsia="zh-CN"/>
        </w:rPr>
        <w:t>省内市州</w:t>
      </w:r>
      <w:r>
        <w:rPr>
          <w:rFonts w:hint="eastAsia" w:ascii="仿宋_GB2312" w:hAnsi="仿宋_GB2312" w:eastAsia="仿宋_GB2312" w:cs="仿宋_GB2312"/>
          <w:sz w:val="32"/>
          <w:szCs w:val="32"/>
          <w:highlight w:val="none"/>
          <w:u w:val="none"/>
        </w:rPr>
        <w:t>设立</w:t>
      </w:r>
      <w:r>
        <w:rPr>
          <w:rFonts w:hint="eastAsia" w:ascii="仿宋_GB2312" w:hAnsi="仿宋_GB2312" w:eastAsia="仿宋_GB2312" w:cs="仿宋_GB2312"/>
          <w:sz w:val="32"/>
          <w:szCs w:val="32"/>
          <w:highlight w:val="none"/>
          <w:u w:val="none"/>
          <w:lang w:val="en-US" w:eastAsia="zh-CN"/>
        </w:rPr>
        <w:t>相关产业投资</w:t>
      </w:r>
      <w:r>
        <w:rPr>
          <w:rFonts w:hint="eastAsia" w:ascii="仿宋_GB2312" w:hAnsi="仿宋_GB2312" w:eastAsia="仿宋_GB2312" w:cs="仿宋_GB2312"/>
          <w:sz w:val="32"/>
          <w:szCs w:val="32"/>
          <w:highlight w:val="none"/>
          <w:u w:val="none"/>
        </w:rPr>
        <w:t>子基金。目前准备设立子基金包括：</w:t>
      </w:r>
    </w:p>
    <w:p w14:paraId="2910738B">
      <w:pPr>
        <w:numPr>
          <w:ilvl w:val="0"/>
          <w:numId w:val="1"/>
        </w:numPr>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人工智能产业子基金，主要投向人工智能技术，推动算力、算法、算据、算网发展，布局开发高性能智能芯片等</w:t>
      </w:r>
      <w:r>
        <w:rPr>
          <w:rFonts w:hint="eastAsia" w:ascii="仿宋_GB2312" w:hAnsi="仿宋_GB2312" w:eastAsia="仿宋_GB2312" w:cs="仿宋_GB2312"/>
          <w:sz w:val="32"/>
          <w:szCs w:val="32"/>
          <w:highlight w:val="none"/>
          <w:u w:val="none"/>
          <w:lang w:val="en-US" w:eastAsia="zh-CN"/>
        </w:rPr>
        <w:t>相关领域</w:t>
      </w:r>
      <w:r>
        <w:rPr>
          <w:rFonts w:hint="eastAsia" w:ascii="仿宋_GB2312" w:hAnsi="仿宋_GB2312" w:eastAsia="仿宋_GB2312" w:cs="仿宋_GB2312"/>
          <w:sz w:val="32"/>
          <w:szCs w:val="32"/>
          <w:highlight w:val="none"/>
          <w:u w:val="none"/>
        </w:rPr>
        <w:t>。</w:t>
      </w:r>
    </w:p>
    <w:p w14:paraId="076AF09F">
      <w:pPr>
        <w:numPr>
          <w:ilvl w:val="0"/>
          <w:numId w:val="1"/>
        </w:numPr>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新能源产业子基金，主要投向新能源汽车、清洁能源发电、新型储能、氢能、智能电网、充换电及能源数字化等相关领域。</w:t>
      </w:r>
    </w:p>
    <w:p w14:paraId="79739232">
      <w:pPr>
        <w:numPr>
          <w:ilvl w:val="0"/>
          <w:numId w:val="1"/>
        </w:numPr>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先进材料产业子基金，主要投向半导体材料、新型显示材料、动力电池材料等先进材料相关领域。</w:t>
      </w:r>
    </w:p>
    <w:p w14:paraId="21FB7DF0">
      <w:pPr>
        <w:numPr>
          <w:ilvl w:val="0"/>
          <w:numId w:val="1"/>
        </w:numPr>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电子信息产业子基金，主要投向集成电路、新型显示、软件与信息服务、智能终端、先进计算等领域。</w:t>
      </w:r>
    </w:p>
    <w:p w14:paraId="5E781FD3">
      <w:pPr>
        <w:numPr>
          <w:ilvl w:val="0"/>
          <w:numId w:val="1"/>
        </w:numPr>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高端装备制造子基金，主要投向航空航天装备、清洁能源装备、轨道交通装备、工业机器人、工业物联网、智能汽车等高端装备制造领域。</w:t>
      </w:r>
    </w:p>
    <w:p w14:paraId="48419172">
      <w:pPr>
        <w:numPr>
          <w:ilvl w:val="0"/>
          <w:numId w:val="1"/>
        </w:numPr>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生物医药产业子基金，主要投向原创化学新药、生物医药、现代中医药、高端医疗器械等大健康相关领域。</w:t>
      </w:r>
    </w:p>
    <w:p w14:paraId="61DE67E6">
      <w:pPr>
        <w:numPr>
          <w:ilvl w:val="0"/>
          <w:numId w:val="1"/>
        </w:numPr>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未来交通产业子基金，主要投向智慧高速、智慧航道、城市数字交通等交通新基建相关领域。</w:t>
      </w:r>
    </w:p>
    <w:p w14:paraId="34F34A65">
      <w:pPr>
        <w:numPr>
          <w:ilvl w:val="0"/>
          <w:numId w:val="1"/>
        </w:numPr>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前沿探索科研基金，专项支持清华大学面向科技前沿和国家重大战略需求进行原始、前瞻的创新探索。</w:t>
      </w:r>
    </w:p>
    <w:p w14:paraId="22D5411C">
      <w:pPr>
        <w:adjustRightInd w:val="0"/>
        <w:snapToGrid w:val="0"/>
        <w:spacing w:line="580" w:lineRule="exact"/>
        <w:ind w:firstLine="640"/>
        <w:rPr>
          <w:rFonts w:ascii="楷体_GB2312" w:hAnsi="楷体_GB2312" w:eastAsia="楷体_GB2312" w:cs="楷体_GB2312"/>
          <w:sz w:val="32"/>
          <w:szCs w:val="32"/>
          <w:highlight w:val="none"/>
          <w:u w:val="none"/>
          <w:lang w:bidi="ar"/>
        </w:rPr>
      </w:pPr>
      <w:r>
        <w:rPr>
          <w:rFonts w:hint="eastAsia" w:ascii="楷体_GB2312" w:hAnsi="楷体_GB2312" w:eastAsia="楷体_GB2312" w:cs="楷体_GB2312"/>
          <w:sz w:val="32"/>
          <w:szCs w:val="32"/>
          <w:highlight w:val="none"/>
          <w:u w:val="none"/>
          <w:lang w:bidi="ar"/>
        </w:rPr>
        <w:t>（四）基金方案要点</w:t>
      </w:r>
    </w:p>
    <w:p w14:paraId="277516BF">
      <w:pPr>
        <w:adjustRightInd w:val="0"/>
        <w:snapToGrid w:val="0"/>
        <w:spacing w:line="580" w:lineRule="exact"/>
        <w:ind w:firstLine="640"/>
        <w:rPr>
          <w:rFonts w:ascii="仿宋_GB2312" w:hAnsi="仿宋_GB2312" w:eastAsia="仿宋_GB2312" w:cs="仿宋_GB2312"/>
          <w:sz w:val="32"/>
          <w:szCs w:val="32"/>
          <w:highlight w:val="none"/>
          <w:u w:val="none"/>
        </w:rPr>
      </w:pPr>
      <w:bookmarkStart w:id="12" w:name="_Toc29778_WPSOffice_Level1"/>
      <w:bookmarkStart w:id="13" w:name="_Toc22114_WPSOffice_Level1"/>
      <w:bookmarkStart w:id="14" w:name="_Toc29793_WPSOffice_Level1"/>
      <w:bookmarkStart w:id="15" w:name="_Toc20888_WPSOffice_Level1"/>
      <w:r>
        <w:rPr>
          <w:rFonts w:hint="default" w:ascii="Times New Roman" w:hAnsi="Times New Roman" w:eastAsia="仿宋_GB2312" w:cs="Times New Roman"/>
          <w:sz w:val="32"/>
          <w:szCs w:val="32"/>
          <w:highlight w:val="none"/>
          <w:u w:val="none"/>
        </w:rPr>
        <w:t>1</w:t>
      </w:r>
      <w:r>
        <w:rPr>
          <w:rFonts w:hint="eastAsia" w:ascii="仿宋_GB2312" w:hAnsi="仿宋_GB2312" w:eastAsia="仿宋_GB2312" w:cs="仿宋_GB2312"/>
          <w:sz w:val="32"/>
          <w:szCs w:val="32"/>
          <w:highlight w:val="none"/>
          <w:u w:val="none"/>
        </w:rPr>
        <w:t>. 基金规模</w:t>
      </w:r>
    </w:p>
    <w:p w14:paraId="1A7ED2AF">
      <w:pPr>
        <w:adjustRightInd w:val="0"/>
        <w:snapToGrid w:val="0"/>
        <w:spacing w:line="580" w:lineRule="exact"/>
        <w:ind w:firstLine="64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基金总规模</w:t>
      </w:r>
      <w:r>
        <w:rPr>
          <w:rFonts w:hint="default" w:ascii="Times New Roman" w:hAnsi="Times New Roman" w:eastAsia="仿宋_GB2312" w:cs="Times New Roman"/>
          <w:sz w:val="32"/>
          <w:szCs w:val="32"/>
          <w:highlight w:val="none"/>
          <w:u w:val="none"/>
        </w:rPr>
        <w:t>100</w:t>
      </w:r>
      <w:r>
        <w:rPr>
          <w:rFonts w:hint="eastAsia" w:ascii="仿宋_GB2312" w:hAnsi="仿宋_GB2312" w:eastAsia="仿宋_GB2312" w:cs="仿宋_GB2312"/>
          <w:sz w:val="32"/>
          <w:szCs w:val="32"/>
          <w:highlight w:val="none"/>
          <w:u w:val="none"/>
        </w:rPr>
        <w:t>亿元，首期</w:t>
      </w:r>
      <w:r>
        <w:rPr>
          <w:rFonts w:hint="eastAsia" w:ascii="仿宋_GB2312" w:hAnsi="仿宋_GB2312" w:eastAsia="仿宋_GB2312" w:cs="仿宋_GB2312"/>
          <w:sz w:val="32"/>
          <w:szCs w:val="32"/>
          <w:highlight w:val="none"/>
          <w:u w:val="none"/>
          <w:lang w:val="en-US" w:eastAsia="zh-CN"/>
        </w:rPr>
        <w:t>目标</w:t>
      </w:r>
      <w:r>
        <w:rPr>
          <w:rFonts w:hint="eastAsia" w:ascii="仿宋_GB2312" w:hAnsi="仿宋_GB2312" w:eastAsia="仿宋_GB2312" w:cs="仿宋_GB2312"/>
          <w:sz w:val="32"/>
          <w:szCs w:val="32"/>
          <w:highlight w:val="none"/>
          <w:u w:val="none"/>
        </w:rPr>
        <w:t>规模</w:t>
      </w:r>
      <w:r>
        <w:rPr>
          <w:rFonts w:hint="default" w:ascii="Times New Roman" w:hAnsi="Times New Roman" w:eastAsia="仿宋_GB2312" w:cs="Times New Roman"/>
          <w:sz w:val="32"/>
          <w:szCs w:val="32"/>
          <w:highlight w:val="none"/>
          <w:u w:val="none"/>
        </w:rPr>
        <w:t>30</w:t>
      </w:r>
      <w:r>
        <w:rPr>
          <w:rFonts w:hint="eastAsia" w:ascii="仿宋_GB2312" w:hAnsi="仿宋_GB2312" w:eastAsia="仿宋_GB2312" w:cs="仿宋_GB2312"/>
          <w:sz w:val="32"/>
          <w:szCs w:val="32"/>
          <w:highlight w:val="none"/>
          <w:u w:val="none"/>
        </w:rPr>
        <w:t>亿元</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u w:val="none"/>
          <w:lang w:val="en-US" w:eastAsia="zh-CN"/>
        </w:rPr>
        <w:t>认缴资金分两次出资到位。</w:t>
      </w:r>
      <w:r>
        <w:rPr>
          <w:rFonts w:hint="eastAsia" w:ascii="仿宋_GB2312" w:hAnsi="仿宋_GB2312" w:eastAsia="仿宋_GB2312" w:cs="仿宋_GB2312"/>
          <w:sz w:val="32"/>
          <w:szCs w:val="32"/>
          <w:u w:val="none"/>
        </w:rPr>
        <w:t>其中首次</w:t>
      </w:r>
      <w:r>
        <w:rPr>
          <w:rFonts w:hint="eastAsia" w:ascii="仿宋_GB2312" w:hAnsi="仿宋_GB2312" w:eastAsia="仿宋_GB2312" w:cs="仿宋_GB2312"/>
          <w:sz w:val="32"/>
          <w:szCs w:val="32"/>
          <w:u w:val="none"/>
          <w:lang w:val="en-US" w:eastAsia="zh-CN"/>
        </w:rPr>
        <w:t>出资为认缴规模的</w:t>
      </w:r>
      <w:r>
        <w:rPr>
          <w:rFonts w:hint="default" w:ascii="Times New Roman" w:hAnsi="Times New Roman" w:eastAsia="仿宋_GB2312" w:cs="Times New Roman"/>
          <w:sz w:val="32"/>
          <w:szCs w:val="32"/>
          <w:u w:val="none"/>
          <w:lang w:val="en-US" w:eastAsia="zh-CN"/>
        </w:rPr>
        <w:t>50</w:t>
      </w:r>
      <w:r>
        <w:rPr>
          <w:rFonts w:hint="eastAsia" w:ascii="仿宋_GB2312" w:hAnsi="仿宋_GB2312" w:eastAsia="仿宋_GB2312" w:cs="仿宋_GB2312"/>
          <w:sz w:val="32"/>
          <w:szCs w:val="32"/>
          <w:u w:val="none"/>
          <w:lang w:val="en-US" w:eastAsia="zh-CN"/>
        </w:rPr>
        <w:t>％</w:t>
      </w:r>
      <w:r>
        <w:rPr>
          <w:rFonts w:ascii="仿宋_GB2312" w:hAnsi="仿宋_GB2312" w:eastAsia="仿宋_GB2312" w:cs="仿宋_GB2312"/>
          <w:sz w:val="32"/>
          <w:szCs w:val="32"/>
          <w:u w:val="none"/>
        </w:rPr>
        <w:t>，</w:t>
      </w:r>
      <w:r>
        <w:rPr>
          <w:rFonts w:hint="eastAsia" w:ascii="仿宋_GB2312" w:hAnsi="仿宋_GB2312" w:eastAsia="仿宋_GB2312" w:cs="仿宋_GB2312"/>
          <w:sz w:val="32"/>
          <w:szCs w:val="32"/>
          <w:u w:val="none"/>
        </w:rPr>
        <w:t>在基金设立后完成缴付</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基金管理人</w:t>
      </w:r>
      <w:r>
        <w:rPr>
          <w:rFonts w:hint="eastAsia" w:ascii="仿宋_GB2312" w:hAnsi="仿宋_GB2312" w:eastAsia="仿宋_GB2312" w:cs="仿宋_GB2312"/>
          <w:snapToGrid w:val="0"/>
          <w:kern w:val="0"/>
          <w:sz w:val="32"/>
          <w:szCs w:val="32"/>
          <w:u w:val="none"/>
        </w:rPr>
        <w:t>完成首次</w:t>
      </w:r>
      <w:r>
        <w:rPr>
          <w:rFonts w:hint="eastAsia" w:ascii="仿宋_GB2312" w:hAnsi="仿宋_GB2312" w:eastAsia="仿宋_GB2312" w:cs="仿宋_GB2312"/>
          <w:snapToGrid w:val="0"/>
          <w:kern w:val="0"/>
          <w:sz w:val="32"/>
          <w:szCs w:val="32"/>
          <w:u w:val="none"/>
          <w:lang w:val="en-US" w:eastAsia="zh-CN"/>
        </w:rPr>
        <w:t>实缴出资</w:t>
      </w:r>
      <w:r>
        <w:rPr>
          <w:rFonts w:hint="eastAsia" w:ascii="仿宋_GB2312" w:hAnsi="仿宋_GB2312" w:eastAsia="仿宋_GB2312" w:cs="仿宋_GB2312"/>
          <w:snapToGrid w:val="0"/>
          <w:kern w:val="0"/>
          <w:sz w:val="32"/>
          <w:szCs w:val="32"/>
          <w:u w:val="none"/>
        </w:rPr>
        <w:t>规模</w:t>
      </w:r>
      <w:r>
        <w:rPr>
          <w:rFonts w:hint="default" w:ascii="Times New Roman" w:hAnsi="Times New Roman" w:eastAsia="仿宋_GB2312" w:cs="Times New Roman"/>
          <w:snapToGrid w:val="0"/>
          <w:kern w:val="0"/>
          <w:sz w:val="32"/>
          <w:szCs w:val="32"/>
          <w:u w:val="none"/>
        </w:rPr>
        <w:t>70</w:t>
      </w:r>
      <w:r>
        <w:rPr>
          <w:rFonts w:hint="eastAsia" w:ascii="仿宋_GB2312" w:hAnsi="仿宋_GB2312" w:eastAsia="仿宋_GB2312" w:cs="仿宋_GB2312"/>
          <w:snapToGrid w:val="0"/>
          <w:kern w:val="0"/>
          <w:sz w:val="32"/>
          <w:szCs w:val="32"/>
          <w:u w:val="none"/>
        </w:rPr>
        <w:t>％的资金投资后，</w:t>
      </w:r>
      <w:r>
        <w:rPr>
          <w:rFonts w:hint="eastAsia" w:ascii="仿宋_GB2312" w:hAnsi="仿宋_GB2312" w:eastAsia="仿宋_GB2312" w:cs="仿宋_GB2312"/>
          <w:snapToGrid w:val="0"/>
          <w:kern w:val="0"/>
          <w:sz w:val="32"/>
          <w:szCs w:val="32"/>
          <w:u w:val="none"/>
          <w:lang w:val="en-US" w:eastAsia="zh-CN"/>
        </w:rPr>
        <w:t>再</w:t>
      </w:r>
      <w:r>
        <w:rPr>
          <w:rFonts w:hint="eastAsia" w:ascii="仿宋_GB2312" w:hAnsi="仿宋_GB2312" w:eastAsia="仿宋_GB2312" w:cs="仿宋_GB2312"/>
          <w:snapToGrid w:val="0"/>
          <w:kern w:val="0"/>
          <w:sz w:val="32"/>
          <w:szCs w:val="32"/>
          <w:u w:val="none"/>
        </w:rPr>
        <w:t>完成</w:t>
      </w:r>
      <w:r>
        <w:rPr>
          <w:rFonts w:ascii="仿宋_GB2312" w:hAnsi="仿宋_GB2312" w:eastAsia="仿宋_GB2312" w:cs="仿宋_GB2312"/>
          <w:snapToGrid w:val="0"/>
          <w:kern w:val="0"/>
          <w:sz w:val="32"/>
          <w:szCs w:val="32"/>
          <w:u w:val="none"/>
        </w:rPr>
        <w:t>剩余</w:t>
      </w:r>
      <w:bookmarkStart w:id="50" w:name="_GoBack"/>
      <w:r>
        <w:rPr>
          <w:rFonts w:hint="eastAsia" w:ascii="仿宋_GB2312" w:hAnsi="仿宋_GB2312" w:eastAsia="仿宋_GB2312" w:cs="仿宋_GB2312"/>
          <w:snapToGrid w:val="0"/>
          <w:kern w:val="0"/>
          <w:sz w:val="32"/>
          <w:szCs w:val="32"/>
          <w:u w:val="none"/>
          <w:lang w:val="en-US" w:eastAsia="zh-CN"/>
        </w:rPr>
        <w:t>首期</w:t>
      </w:r>
      <w:bookmarkEnd w:id="50"/>
      <w:r>
        <w:rPr>
          <w:rFonts w:ascii="仿宋_GB2312" w:hAnsi="仿宋_GB2312" w:eastAsia="仿宋_GB2312" w:cs="仿宋_GB2312"/>
          <w:snapToGrid w:val="0"/>
          <w:kern w:val="0"/>
          <w:sz w:val="32"/>
          <w:szCs w:val="32"/>
          <w:u w:val="none"/>
        </w:rPr>
        <w:t>出资</w:t>
      </w:r>
      <w:r>
        <w:rPr>
          <w:rFonts w:hint="eastAsia" w:ascii="仿宋_GB2312" w:hAnsi="仿宋_GB2312" w:eastAsia="仿宋_GB2312" w:cs="仿宋_GB2312"/>
          <w:sz w:val="32"/>
          <w:szCs w:val="32"/>
          <w:u w:val="none"/>
        </w:rPr>
        <w:t>。</w:t>
      </w:r>
    </w:p>
    <w:p w14:paraId="6753EBCA">
      <w:pPr>
        <w:adjustRightInd w:val="0"/>
        <w:snapToGrid w:val="0"/>
        <w:spacing w:line="580" w:lineRule="exact"/>
        <w:ind w:firstLine="640"/>
        <w:rPr>
          <w:rFonts w:ascii="仿宋_GB2312" w:hAnsi="仿宋_GB2312" w:eastAsia="仿宋_GB2312" w:cs="仿宋_GB2312"/>
          <w:sz w:val="32"/>
          <w:szCs w:val="32"/>
          <w:highlight w:val="none"/>
          <w:u w:val="none"/>
        </w:rPr>
      </w:pPr>
      <w:r>
        <w:rPr>
          <w:rFonts w:hint="default" w:ascii="Times New Roman" w:hAnsi="Times New Roman" w:eastAsia="仿宋_GB2312" w:cs="Times New Roman"/>
          <w:sz w:val="32"/>
          <w:szCs w:val="32"/>
          <w:highlight w:val="none"/>
          <w:u w:val="none"/>
        </w:rPr>
        <w:t>2</w:t>
      </w:r>
      <w:r>
        <w:rPr>
          <w:rFonts w:hint="eastAsia" w:ascii="仿宋_GB2312" w:hAnsi="仿宋_GB2312" w:eastAsia="仿宋_GB2312" w:cs="仿宋_GB2312"/>
          <w:sz w:val="32"/>
          <w:szCs w:val="32"/>
          <w:highlight w:val="none"/>
          <w:u w:val="none"/>
        </w:rPr>
        <w:t>. 组织形式</w:t>
      </w:r>
    </w:p>
    <w:p w14:paraId="5A7E789A">
      <w:pPr>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有限合伙制。</w:t>
      </w:r>
    </w:p>
    <w:p w14:paraId="2A0CDBBE">
      <w:pPr>
        <w:adjustRightInd w:val="0"/>
        <w:snapToGrid w:val="0"/>
        <w:spacing w:line="580" w:lineRule="exact"/>
        <w:ind w:firstLine="640"/>
        <w:rPr>
          <w:rFonts w:ascii="仿宋_GB2312" w:hAnsi="仿宋_GB2312" w:eastAsia="仿宋_GB2312" w:cs="仿宋_GB2312"/>
          <w:sz w:val="32"/>
          <w:szCs w:val="32"/>
          <w:highlight w:val="none"/>
          <w:u w:val="none"/>
        </w:rPr>
      </w:pPr>
      <w:r>
        <w:rPr>
          <w:rFonts w:hint="default" w:ascii="Times New Roman" w:hAnsi="Times New Roman" w:eastAsia="仿宋_GB2312" w:cs="Times New Roman"/>
          <w:sz w:val="32"/>
          <w:szCs w:val="32"/>
          <w:highlight w:val="none"/>
          <w:u w:val="none"/>
        </w:rPr>
        <w:t>3</w:t>
      </w:r>
      <w:r>
        <w:rPr>
          <w:rFonts w:hint="eastAsia" w:ascii="仿宋_GB2312" w:hAnsi="仿宋_GB2312" w:eastAsia="仿宋_GB2312" w:cs="仿宋_GB2312"/>
          <w:sz w:val="32"/>
          <w:szCs w:val="32"/>
          <w:highlight w:val="none"/>
          <w:u w:val="none"/>
        </w:rPr>
        <w:t>. 存续期</w:t>
      </w:r>
    </w:p>
    <w:p w14:paraId="442315B6">
      <w:pPr>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基金存续期不超过</w:t>
      </w:r>
      <w:r>
        <w:rPr>
          <w:rFonts w:hint="default" w:ascii="Times New Roman" w:hAnsi="Times New Roman" w:eastAsia="仿宋_GB2312" w:cs="Times New Roman"/>
          <w:sz w:val="32"/>
          <w:szCs w:val="32"/>
          <w:highlight w:val="none"/>
          <w:u w:val="none"/>
        </w:rPr>
        <w:t>10</w:t>
      </w:r>
      <w:r>
        <w:rPr>
          <w:rFonts w:hint="eastAsia" w:ascii="仿宋_GB2312" w:hAnsi="仿宋_GB2312" w:eastAsia="仿宋_GB2312" w:cs="仿宋_GB2312"/>
          <w:sz w:val="32"/>
          <w:szCs w:val="32"/>
          <w:highlight w:val="none"/>
          <w:u w:val="none"/>
        </w:rPr>
        <w:t>年，其中，投资期不超过</w:t>
      </w:r>
      <w:r>
        <w:rPr>
          <w:rFonts w:hint="default" w:ascii="Times New Roman" w:hAnsi="Times New Roman" w:eastAsia="仿宋_GB2312" w:cs="Times New Roman"/>
          <w:sz w:val="32"/>
          <w:szCs w:val="32"/>
          <w:highlight w:val="none"/>
          <w:u w:val="none"/>
        </w:rPr>
        <w:t>7</w:t>
      </w:r>
      <w:r>
        <w:rPr>
          <w:rFonts w:hint="eastAsia" w:ascii="仿宋_GB2312" w:hAnsi="仿宋_GB2312" w:eastAsia="仿宋_GB2312" w:cs="仿宋_GB2312"/>
          <w:sz w:val="32"/>
          <w:szCs w:val="32"/>
          <w:highlight w:val="none"/>
          <w:u w:val="none"/>
        </w:rPr>
        <w:t>年，退出期</w:t>
      </w:r>
      <w:r>
        <w:rPr>
          <w:rFonts w:hint="default" w:ascii="Times New Roman" w:hAnsi="Times New Roman" w:eastAsia="仿宋_GB2312" w:cs="Times New Roman"/>
          <w:sz w:val="32"/>
          <w:szCs w:val="32"/>
          <w:highlight w:val="none"/>
          <w:u w:val="none"/>
        </w:rPr>
        <w:t>3</w:t>
      </w:r>
      <w:r>
        <w:rPr>
          <w:rFonts w:hint="eastAsia" w:ascii="仿宋_GB2312" w:hAnsi="仿宋_GB2312" w:eastAsia="仿宋_GB2312" w:cs="仿宋_GB2312"/>
          <w:sz w:val="32"/>
          <w:szCs w:val="32"/>
          <w:highlight w:val="none"/>
          <w:u w:val="none"/>
        </w:rPr>
        <w:t>年</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经全体合伙人同意可延长不超过</w:t>
      </w:r>
      <w:r>
        <w:rPr>
          <w:rFonts w:hint="default" w:ascii="Times New Roman" w:hAnsi="Times New Roman" w:eastAsia="仿宋_GB2312" w:cs="Times New Roman"/>
          <w:sz w:val="32"/>
          <w:szCs w:val="32"/>
          <w:highlight w:val="none"/>
          <w:u w:val="none"/>
        </w:rPr>
        <w:t>2</w:t>
      </w:r>
      <w:r>
        <w:rPr>
          <w:rFonts w:hint="eastAsia" w:ascii="仿宋_GB2312" w:hAnsi="仿宋_GB2312" w:eastAsia="仿宋_GB2312" w:cs="仿宋_GB2312"/>
          <w:sz w:val="32"/>
          <w:szCs w:val="32"/>
          <w:highlight w:val="none"/>
          <w:u w:val="none"/>
        </w:rPr>
        <w:t>年。</w:t>
      </w:r>
    </w:p>
    <w:p w14:paraId="51569C09">
      <w:pPr>
        <w:adjustRightInd w:val="0"/>
        <w:snapToGrid w:val="0"/>
        <w:spacing w:line="580" w:lineRule="exact"/>
        <w:ind w:firstLine="640"/>
        <w:rPr>
          <w:rFonts w:ascii="仿宋_GB2312" w:hAnsi="仿宋_GB2312" w:eastAsia="仿宋_GB2312" w:cs="仿宋_GB2312"/>
          <w:sz w:val="32"/>
          <w:szCs w:val="32"/>
          <w:highlight w:val="none"/>
          <w:u w:val="none"/>
        </w:rPr>
      </w:pPr>
      <w:r>
        <w:rPr>
          <w:rFonts w:hint="default" w:ascii="Times New Roman" w:hAnsi="Times New Roman" w:eastAsia="仿宋_GB2312" w:cs="Times New Roman"/>
          <w:sz w:val="32"/>
          <w:szCs w:val="32"/>
          <w:highlight w:val="none"/>
          <w:u w:val="none"/>
        </w:rPr>
        <w:t>4</w:t>
      </w:r>
      <w:r>
        <w:rPr>
          <w:rFonts w:hint="eastAsia" w:ascii="仿宋_GB2312" w:hAnsi="仿宋_GB2312" w:eastAsia="仿宋_GB2312" w:cs="仿宋_GB2312"/>
          <w:sz w:val="32"/>
          <w:szCs w:val="32"/>
          <w:highlight w:val="none"/>
          <w:u w:val="none"/>
        </w:rPr>
        <w:t>. 运作方式</w:t>
      </w:r>
    </w:p>
    <w:p w14:paraId="73D2595B">
      <w:pPr>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基金投资采取“子基金+项目直投”方式，基金整体规模不低于</w:t>
      </w:r>
      <w:r>
        <w:rPr>
          <w:rFonts w:hint="default" w:ascii="Times New Roman" w:hAnsi="Times New Roman" w:eastAsia="仿宋_GB2312" w:cs="Times New Roman"/>
          <w:sz w:val="32"/>
          <w:szCs w:val="32"/>
          <w:highlight w:val="none"/>
          <w:u w:val="none"/>
        </w:rPr>
        <w:t>70</w:t>
      </w:r>
      <w:r>
        <w:rPr>
          <w:rFonts w:hint="eastAsia" w:ascii="仿宋_GB2312" w:hAnsi="仿宋_GB2312" w:eastAsia="仿宋_GB2312" w:cs="仿宋_GB2312"/>
          <w:sz w:val="32"/>
          <w:szCs w:val="32"/>
          <w:highlight w:val="none"/>
          <w:u w:val="none"/>
        </w:rPr>
        <w:t>％的比例投资子基金，且不高于</w:t>
      </w:r>
      <w:r>
        <w:rPr>
          <w:rFonts w:hint="default" w:ascii="Times New Roman" w:hAnsi="Times New Roman" w:eastAsia="仿宋_GB2312" w:cs="Times New Roman"/>
          <w:sz w:val="32"/>
          <w:szCs w:val="32"/>
          <w:highlight w:val="none"/>
          <w:u w:val="none"/>
        </w:rPr>
        <w:t>30</w:t>
      </w:r>
      <w:r>
        <w:rPr>
          <w:rFonts w:hint="eastAsia" w:ascii="仿宋_GB2312" w:hAnsi="仿宋_GB2312" w:eastAsia="仿宋_GB2312" w:cs="仿宋_GB2312"/>
          <w:sz w:val="32"/>
          <w:szCs w:val="32"/>
          <w:highlight w:val="none"/>
          <w:u w:val="none"/>
        </w:rPr>
        <w:t>％的比例直投项目，</w:t>
      </w:r>
      <w:r>
        <w:rPr>
          <w:rFonts w:hint="eastAsia" w:ascii="仿宋_GB2312" w:hAnsi="仿宋_GB2312" w:eastAsia="仿宋_GB2312" w:cs="仿宋_GB2312"/>
          <w:snapToGrid w:val="0"/>
          <w:kern w:val="0"/>
          <w:sz w:val="32"/>
          <w:szCs w:val="32"/>
          <w:highlight w:val="none"/>
          <w:u w:val="none"/>
        </w:rPr>
        <w:t>基金管</w:t>
      </w:r>
      <w:r>
        <w:rPr>
          <w:rFonts w:hint="eastAsia" w:ascii="仿宋_GB2312" w:hAnsi="仿宋_GB2312" w:eastAsia="仿宋_GB2312" w:cs="仿宋_GB2312"/>
          <w:sz w:val="32"/>
          <w:szCs w:val="32"/>
          <w:highlight w:val="none"/>
          <w:u w:val="none"/>
        </w:rPr>
        <w:t>理</w:t>
      </w:r>
      <w:r>
        <w:rPr>
          <w:rFonts w:hint="eastAsia" w:ascii="仿宋_GB2312" w:hAnsi="仿宋_GB2312" w:eastAsia="仿宋_GB2312" w:cs="仿宋_GB2312"/>
          <w:snapToGrid/>
          <w:kern w:val="2"/>
          <w:sz w:val="32"/>
          <w:szCs w:val="32"/>
          <w:highlight w:val="none"/>
          <w:u w:val="none"/>
          <w:lang w:val="en-US" w:eastAsia="zh-CN"/>
        </w:rPr>
        <w:t>机构</w:t>
      </w:r>
      <w:r>
        <w:rPr>
          <w:rFonts w:hint="eastAsia" w:ascii="仿宋_GB2312" w:hAnsi="仿宋_GB2312" w:eastAsia="仿宋_GB2312" w:cs="仿宋_GB2312"/>
          <w:snapToGrid w:val="0"/>
          <w:kern w:val="0"/>
          <w:sz w:val="32"/>
          <w:szCs w:val="32"/>
          <w:highlight w:val="none"/>
          <w:u w:val="none"/>
        </w:rPr>
        <w:t>可根据实际情况提出子基金和项目直投的比例分配</w:t>
      </w:r>
      <w:r>
        <w:rPr>
          <w:rFonts w:hint="eastAsia" w:ascii="仿宋_GB2312" w:hAnsi="仿宋_GB2312" w:eastAsia="仿宋_GB2312" w:cs="仿宋_GB2312"/>
          <w:sz w:val="32"/>
          <w:szCs w:val="32"/>
          <w:highlight w:val="none"/>
          <w:u w:val="none"/>
        </w:rPr>
        <w:t>方案。</w:t>
      </w:r>
      <w:r>
        <w:rPr>
          <w:rFonts w:hint="eastAsia" w:ascii="仿宋_GB2312" w:hAnsi="仿宋_GB2312" w:eastAsia="仿宋_GB2312" w:cs="仿宋_GB2312"/>
          <w:sz w:val="32"/>
          <w:szCs w:val="32"/>
          <w:highlight w:val="none"/>
          <w:u w:val="none"/>
          <w:shd w:val="clear" w:color="auto" w:fill="FFFFFF"/>
        </w:rPr>
        <w:t>原则上，基金对单个子基金的出资比例不超过子基金认缴总规模的</w:t>
      </w:r>
      <w:r>
        <w:rPr>
          <w:rFonts w:hint="default" w:ascii="Times New Roman" w:hAnsi="Times New Roman" w:eastAsia="仿宋_GB2312" w:cs="Times New Roman"/>
          <w:sz w:val="32"/>
          <w:szCs w:val="32"/>
          <w:highlight w:val="none"/>
          <w:u w:val="none"/>
          <w:shd w:val="clear" w:color="auto" w:fill="FFFFFF"/>
        </w:rPr>
        <w:t>30</w:t>
      </w:r>
      <w:r>
        <w:rPr>
          <w:rFonts w:hint="eastAsia" w:ascii="仿宋_GB2312" w:hAnsi="仿宋_GB2312" w:eastAsia="仿宋_GB2312" w:cs="仿宋_GB2312"/>
          <w:sz w:val="32"/>
          <w:szCs w:val="32"/>
          <w:highlight w:val="none"/>
          <w:u w:val="none"/>
          <w:shd w:val="clear" w:color="auto" w:fill="FFFFFF"/>
        </w:rPr>
        <w:t>％</w:t>
      </w:r>
      <w:r>
        <w:rPr>
          <w:rFonts w:hint="eastAsia" w:ascii="仿宋_GB2312" w:hAnsi="仿宋_GB2312" w:eastAsia="仿宋_GB2312" w:cs="仿宋_GB2312"/>
          <w:sz w:val="32"/>
          <w:szCs w:val="32"/>
          <w:highlight w:val="none"/>
          <w:u w:val="none"/>
        </w:rPr>
        <w:t>（对专注于投资企业早期阶段的子基金，原则上基金出资比例可超过</w:t>
      </w:r>
      <w:r>
        <w:rPr>
          <w:rFonts w:hint="default" w:ascii="Times New Roman" w:hAnsi="Times New Roman" w:eastAsia="仿宋_GB2312" w:cs="Times New Roman"/>
          <w:sz w:val="32"/>
          <w:szCs w:val="32"/>
          <w:highlight w:val="none"/>
          <w:u w:val="none"/>
        </w:rPr>
        <w:t>30</w:t>
      </w:r>
      <w:r>
        <w:rPr>
          <w:rFonts w:hint="eastAsia" w:ascii="仿宋_GB2312" w:hAnsi="仿宋_GB2312" w:eastAsia="仿宋_GB2312" w:cs="仿宋_GB2312"/>
          <w:sz w:val="32"/>
          <w:szCs w:val="32"/>
          <w:highlight w:val="none"/>
          <w:u w:val="none"/>
        </w:rPr>
        <w:t>％，但不超过</w:t>
      </w:r>
      <w:r>
        <w:rPr>
          <w:rFonts w:hint="default" w:ascii="Times New Roman" w:hAnsi="Times New Roman" w:eastAsia="仿宋_GB2312" w:cs="Times New Roman"/>
          <w:sz w:val="32"/>
          <w:szCs w:val="32"/>
          <w:highlight w:val="none"/>
          <w:u w:val="none"/>
        </w:rPr>
        <w:t>50</w:t>
      </w:r>
      <w:bookmarkStart w:id="16" w:name="OLE_LINK4"/>
      <w:r>
        <w:rPr>
          <w:rFonts w:hint="eastAsia" w:ascii="仿宋_GB2312" w:hAnsi="仿宋_GB2312" w:eastAsia="仿宋_GB2312" w:cs="仿宋_GB2312"/>
          <w:sz w:val="32"/>
          <w:szCs w:val="32"/>
          <w:highlight w:val="none"/>
          <w:u w:val="none"/>
        </w:rPr>
        <w:t>％</w:t>
      </w:r>
      <w:bookmarkEnd w:id="16"/>
      <w:r>
        <w:rPr>
          <w:rFonts w:hint="eastAsia" w:ascii="仿宋_GB2312" w:hAnsi="仿宋_GB2312" w:eastAsia="仿宋_GB2312" w:cs="仿宋_GB2312"/>
          <w:sz w:val="32"/>
          <w:szCs w:val="32"/>
          <w:highlight w:val="none"/>
          <w:u w:val="none"/>
        </w:rPr>
        <w:t>；对于专项支持清华大学面向科技前沿和国家重大战略需求进行原始、前瞻性探索的前沿探索科研基金，经投委会全体同意出资比例可超过</w:t>
      </w:r>
      <w:r>
        <w:rPr>
          <w:rFonts w:hint="default" w:ascii="Times New Roman" w:hAnsi="Times New Roman" w:eastAsia="仿宋_GB2312" w:cs="Times New Roman"/>
          <w:sz w:val="32"/>
          <w:szCs w:val="32"/>
          <w:highlight w:val="none"/>
          <w:u w:val="none"/>
        </w:rPr>
        <w:t>50</w:t>
      </w:r>
      <w:r>
        <w:rPr>
          <w:rFonts w:hint="eastAsia" w:ascii="仿宋_GB2312" w:hAnsi="仿宋_GB2312" w:eastAsia="仿宋_GB2312" w:cs="仿宋_GB2312"/>
          <w:sz w:val="32"/>
          <w:szCs w:val="32"/>
          <w:highlight w:val="none"/>
          <w:u w:val="none"/>
        </w:rPr>
        <w:t xml:space="preserve">％）。 </w:t>
      </w:r>
    </w:p>
    <w:p w14:paraId="45315012">
      <w:pPr>
        <w:adjustRightInd w:val="0"/>
        <w:snapToGrid w:val="0"/>
        <w:spacing w:line="580" w:lineRule="exact"/>
        <w:ind w:firstLine="640"/>
        <w:rPr>
          <w:rFonts w:ascii="仿宋_GB2312" w:hAnsi="仿宋_GB2312" w:eastAsia="仿宋_GB2312" w:cs="仿宋_GB2312"/>
          <w:sz w:val="32"/>
          <w:szCs w:val="32"/>
          <w:highlight w:val="none"/>
          <w:u w:val="none"/>
        </w:rPr>
      </w:pPr>
      <w:r>
        <w:rPr>
          <w:rFonts w:hint="default" w:ascii="Times New Roman" w:hAnsi="Times New Roman" w:eastAsia="仿宋_GB2312" w:cs="Times New Roman"/>
          <w:sz w:val="32"/>
          <w:szCs w:val="32"/>
          <w:highlight w:val="none"/>
          <w:u w:val="none"/>
        </w:rPr>
        <w:t>5</w:t>
      </w:r>
      <w:r>
        <w:rPr>
          <w:rFonts w:hint="eastAsia" w:ascii="仿宋_GB2312" w:hAnsi="仿宋_GB2312" w:eastAsia="仿宋_GB2312" w:cs="仿宋_GB2312"/>
          <w:sz w:val="32"/>
          <w:szCs w:val="32"/>
          <w:highlight w:val="none"/>
          <w:u w:val="none"/>
        </w:rPr>
        <w:t>. 管理机制</w:t>
      </w:r>
    </w:p>
    <w:p w14:paraId="70CDEB86">
      <w:pPr>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基金将成立由政府、高校、出资人共同构成的基金理事会，主要负责从宏观层面统筹把控基金的整体规划、战略方向；基金将成立由各出资人组成的基金管理委员会，主要负责监督及考核基金运作情况；基金设立投资决策委员会，主要负责对基金的投资、管理、退出等事项</w:t>
      </w:r>
      <w:r>
        <w:rPr>
          <w:rFonts w:hint="eastAsia" w:ascii="仿宋_GB2312" w:hAnsi="仿宋_GB2312" w:eastAsia="仿宋_GB2312" w:cs="仿宋_GB2312"/>
          <w:sz w:val="32"/>
          <w:szCs w:val="32"/>
          <w:highlight w:val="none"/>
          <w:u w:val="none"/>
          <w:lang w:val="en-US" w:eastAsia="zh-CN"/>
        </w:rPr>
        <w:t>作</w:t>
      </w:r>
      <w:r>
        <w:rPr>
          <w:rFonts w:hint="eastAsia" w:ascii="仿宋_GB2312" w:hAnsi="仿宋_GB2312" w:eastAsia="仿宋_GB2312" w:cs="仿宋_GB2312"/>
          <w:sz w:val="32"/>
          <w:szCs w:val="32"/>
          <w:highlight w:val="none"/>
          <w:u w:val="none"/>
        </w:rPr>
        <w:t>出决策。</w:t>
      </w:r>
    </w:p>
    <w:p w14:paraId="2FDDA74E">
      <w:pPr>
        <w:adjustRightInd w:val="0"/>
        <w:snapToGrid w:val="0"/>
        <w:spacing w:line="580" w:lineRule="exact"/>
        <w:ind w:firstLine="640"/>
        <w:rPr>
          <w:rFonts w:ascii="仿宋_GB2312" w:hAnsi="仿宋_GB2312" w:eastAsia="仿宋_GB2312" w:cs="仿宋_GB2312"/>
          <w:sz w:val="32"/>
          <w:szCs w:val="32"/>
          <w:highlight w:val="none"/>
          <w:u w:val="none"/>
        </w:rPr>
      </w:pPr>
      <w:r>
        <w:rPr>
          <w:rFonts w:hint="default" w:ascii="Times New Roman" w:hAnsi="Times New Roman" w:eastAsia="仿宋_GB2312" w:cs="Times New Roman"/>
          <w:sz w:val="32"/>
          <w:szCs w:val="32"/>
          <w:highlight w:val="none"/>
          <w:u w:val="none"/>
        </w:rPr>
        <w:t>6</w:t>
      </w:r>
      <w:r>
        <w:rPr>
          <w:rFonts w:hint="eastAsia" w:ascii="仿宋_GB2312" w:hAnsi="仿宋_GB2312" w:eastAsia="仿宋_GB2312" w:cs="仿宋_GB2312"/>
          <w:sz w:val="32"/>
          <w:szCs w:val="32"/>
          <w:highlight w:val="none"/>
          <w:u w:val="none"/>
        </w:rPr>
        <w:t>. 投资方向</w:t>
      </w:r>
    </w:p>
    <w:p w14:paraId="4D716855">
      <w:pPr>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基金重点投向以清华大学为主的高校和科研院所科技成果转化项目，产业布局上重点向四川省“</w:t>
      </w:r>
      <w:r>
        <w:rPr>
          <w:rFonts w:hint="default" w:ascii="Times New Roman" w:hAnsi="Times New Roman" w:eastAsia="仿宋_GB2312" w:cs="Times New Roman"/>
          <w:sz w:val="32"/>
          <w:szCs w:val="32"/>
          <w:highlight w:val="none"/>
          <w:u w:val="none"/>
        </w:rPr>
        <w:t>6</w:t>
      </w:r>
      <w:r>
        <w:rPr>
          <w:rFonts w:hint="eastAsia" w:ascii="仿宋_GB2312" w:hAnsi="仿宋_GB2312" w:eastAsia="仿宋_GB2312" w:cs="仿宋_GB2312"/>
          <w:sz w:val="32"/>
          <w:szCs w:val="32"/>
          <w:highlight w:val="none"/>
          <w:u w:val="none"/>
        </w:rPr>
        <w:t>+</w:t>
      </w:r>
      <w:r>
        <w:rPr>
          <w:rFonts w:hint="default" w:ascii="Times New Roman" w:hAnsi="Times New Roman" w:eastAsia="仿宋_GB2312" w:cs="Times New Roman"/>
          <w:sz w:val="32"/>
          <w:szCs w:val="32"/>
          <w:highlight w:val="none"/>
          <w:u w:val="none"/>
        </w:rPr>
        <w:t>4</w:t>
      </w:r>
      <w:r>
        <w:rPr>
          <w:rFonts w:hint="eastAsia" w:ascii="仿宋_GB2312" w:hAnsi="仿宋_GB2312" w:eastAsia="仿宋_GB2312" w:cs="仿宋_GB2312"/>
          <w:sz w:val="32"/>
          <w:szCs w:val="32"/>
          <w:highlight w:val="none"/>
          <w:u w:val="none"/>
        </w:rPr>
        <w:t>+</w:t>
      </w:r>
      <w:r>
        <w:rPr>
          <w:rFonts w:hint="default" w:ascii="Times New Roman" w:hAnsi="Times New Roman" w:eastAsia="仿宋_GB2312" w:cs="Times New Roman"/>
          <w:sz w:val="32"/>
          <w:szCs w:val="32"/>
          <w:highlight w:val="none"/>
          <w:u w:val="none"/>
        </w:rPr>
        <w:t>3</w:t>
      </w:r>
      <w:r>
        <w:rPr>
          <w:rFonts w:hint="eastAsia" w:ascii="仿宋_GB2312" w:hAnsi="仿宋_GB2312" w:eastAsia="仿宋_GB2312" w:cs="仿宋_GB2312"/>
          <w:sz w:val="32"/>
          <w:szCs w:val="32"/>
          <w:highlight w:val="none"/>
          <w:u w:val="none"/>
        </w:rPr>
        <w:t>”产业聚焦（即六个特色优势产业：电子信息、装备制造、食品轻纺、能源化工、先进材料、医药健康产业；四个战略性新兴产业：新一代信息技术、生物技术、人工智能、高端装备产业；三个未来产业：未来交通、生物芯片、元宇宙产业）。基金聚焦“投早”，在前沿</w:t>
      </w:r>
      <w:r>
        <w:rPr>
          <w:rFonts w:hint="eastAsia" w:ascii="仿宋_GB2312" w:hAnsi="仿宋_GB2312" w:eastAsia="仿宋_GB2312" w:cs="仿宋_GB2312"/>
          <w:sz w:val="32"/>
          <w:szCs w:val="32"/>
          <w:highlight w:val="none"/>
          <w:u w:val="none"/>
          <w:lang w:val="en-US" w:eastAsia="zh-CN"/>
        </w:rPr>
        <w:t>性</w:t>
      </w:r>
      <w:r>
        <w:rPr>
          <w:rFonts w:hint="eastAsia" w:ascii="仿宋_GB2312" w:hAnsi="仿宋_GB2312" w:eastAsia="仿宋_GB2312" w:cs="仿宋_GB2312"/>
          <w:sz w:val="32"/>
          <w:szCs w:val="32"/>
          <w:highlight w:val="none"/>
          <w:u w:val="none"/>
        </w:rPr>
        <w:t>、原创性、颠覆性的尖端技术领域，服务支持具备原始创新要素的早期科技型企业和项目；着眼“投小”，关注具有发展前景、尚未成长壮大的创新创业企业，引导社会资本加强对种子期、初创期科技型企业的支持；坚持“投硬”，围绕重点产业的关键核心技术、“卡脖子”技术，靶向引进一批前沿</w:t>
      </w:r>
      <w:r>
        <w:rPr>
          <w:rFonts w:hint="eastAsia" w:ascii="仿宋_GB2312" w:hAnsi="仿宋_GB2312" w:eastAsia="仿宋_GB2312" w:cs="仿宋_GB2312"/>
          <w:sz w:val="32"/>
          <w:szCs w:val="32"/>
          <w:highlight w:val="none"/>
          <w:u w:val="none"/>
          <w:lang w:val="en-US" w:eastAsia="zh-CN"/>
        </w:rPr>
        <w:t>性</w:t>
      </w:r>
      <w:r>
        <w:rPr>
          <w:rFonts w:hint="eastAsia" w:ascii="仿宋_GB2312" w:hAnsi="仿宋_GB2312" w:eastAsia="仿宋_GB2312" w:cs="仿宋_GB2312"/>
          <w:sz w:val="32"/>
          <w:szCs w:val="32"/>
          <w:highlight w:val="none"/>
          <w:u w:val="none"/>
        </w:rPr>
        <w:t>、引领性技术成果，构筑四川省产业创新生态圈。</w:t>
      </w:r>
    </w:p>
    <w:p w14:paraId="6396452B">
      <w:pPr>
        <w:adjustRightInd w:val="0"/>
        <w:snapToGrid w:val="0"/>
        <w:spacing w:line="580" w:lineRule="exact"/>
        <w:ind w:firstLine="640"/>
        <w:rPr>
          <w:rFonts w:ascii="仿宋_GB2312" w:hAnsi="仿宋_GB2312" w:eastAsia="仿宋_GB2312" w:cs="仿宋_GB2312"/>
          <w:sz w:val="32"/>
          <w:szCs w:val="32"/>
          <w:highlight w:val="none"/>
          <w:u w:val="none"/>
        </w:rPr>
      </w:pPr>
      <w:r>
        <w:rPr>
          <w:rFonts w:hint="default" w:ascii="Times New Roman" w:hAnsi="Times New Roman" w:eastAsia="仿宋_GB2312" w:cs="Times New Roman"/>
          <w:sz w:val="32"/>
          <w:szCs w:val="32"/>
          <w:highlight w:val="none"/>
          <w:u w:val="none"/>
        </w:rPr>
        <w:t>7</w:t>
      </w:r>
      <w:r>
        <w:rPr>
          <w:rFonts w:hint="eastAsia" w:ascii="仿宋_GB2312" w:hAnsi="仿宋_GB2312" w:eastAsia="仿宋_GB2312" w:cs="仿宋_GB2312"/>
          <w:sz w:val="32"/>
          <w:szCs w:val="32"/>
          <w:highlight w:val="none"/>
          <w:u w:val="none"/>
        </w:rPr>
        <w:t>. 子基金投资</w:t>
      </w:r>
    </w:p>
    <w:p w14:paraId="16BBE46C">
      <w:pPr>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基金投资子基金必须有明确的投资方向和产业逻辑，子基金</w:t>
      </w:r>
      <w:r>
        <w:rPr>
          <w:rFonts w:hint="eastAsia" w:ascii="仿宋_GB2312" w:hAnsi="仿宋_GB2312" w:eastAsia="仿宋_GB2312" w:cs="仿宋_GB2312"/>
          <w:snapToGrid w:val="0"/>
          <w:kern w:val="0"/>
          <w:sz w:val="32"/>
          <w:szCs w:val="32"/>
          <w:highlight w:val="none"/>
          <w:u w:val="none"/>
        </w:rPr>
        <w:t>管理</w:t>
      </w:r>
      <w:r>
        <w:rPr>
          <w:rFonts w:hint="eastAsia" w:ascii="仿宋_GB2312" w:hAnsi="仿宋_GB2312" w:eastAsia="仿宋_GB2312" w:cs="仿宋_GB2312"/>
          <w:snapToGrid w:val="0"/>
          <w:kern w:val="0"/>
          <w:sz w:val="32"/>
          <w:szCs w:val="32"/>
          <w:highlight w:val="none"/>
          <w:u w:val="none"/>
          <w:lang w:val="en-US" w:eastAsia="zh-CN"/>
        </w:rPr>
        <w:t>机构</w:t>
      </w:r>
      <w:r>
        <w:rPr>
          <w:rFonts w:hint="eastAsia" w:ascii="仿宋_GB2312" w:hAnsi="仿宋_GB2312" w:eastAsia="仿宋_GB2312" w:cs="仿宋_GB2312"/>
          <w:snapToGrid w:val="0"/>
          <w:kern w:val="0"/>
          <w:sz w:val="32"/>
          <w:szCs w:val="32"/>
          <w:highlight w:val="none"/>
          <w:u w:val="none"/>
        </w:rPr>
        <w:t>的确定必须通过公开遴选程序进行，并由母基金管理</w:t>
      </w:r>
      <w:r>
        <w:rPr>
          <w:rFonts w:hint="eastAsia" w:ascii="仿宋_GB2312" w:hAnsi="仿宋_GB2312" w:eastAsia="仿宋_GB2312" w:cs="仿宋_GB2312"/>
          <w:snapToGrid w:val="0"/>
          <w:kern w:val="0"/>
          <w:sz w:val="32"/>
          <w:szCs w:val="32"/>
          <w:highlight w:val="none"/>
          <w:u w:val="none"/>
          <w:lang w:val="en-US" w:eastAsia="zh-CN"/>
        </w:rPr>
        <w:t>人</w:t>
      </w:r>
      <w:r>
        <w:rPr>
          <w:rFonts w:hint="eastAsia" w:ascii="仿宋_GB2312" w:hAnsi="仿宋_GB2312" w:eastAsia="仿宋_GB2312" w:cs="仿宋_GB2312"/>
          <w:sz w:val="32"/>
          <w:szCs w:val="32"/>
          <w:highlight w:val="none"/>
          <w:u w:val="none"/>
        </w:rPr>
        <w:t>和母基金出资人共同参与组织遴选工作。</w:t>
      </w:r>
    </w:p>
    <w:p w14:paraId="35EC1E6F">
      <w:pPr>
        <w:adjustRightInd w:val="0"/>
        <w:snapToGrid w:val="0"/>
        <w:spacing w:line="580" w:lineRule="exact"/>
        <w:ind w:firstLine="640"/>
        <w:rPr>
          <w:rFonts w:ascii="仿宋_GB2312" w:hAnsi="仿宋_GB2312" w:eastAsia="仿宋_GB2312" w:cs="仿宋_GB2312"/>
          <w:sz w:val="32"/>
          <w:szCs w:val="32"/>
          <w:highlight w:val="none"/>
          <w:u w:val="none"/>
        </w:rPr>
      </w:pPr>
      <w:r>
        <w:rPr>
          <w:rFonts w:hint="default" w:ascii="Times New Roman" w:hAnsi="Times New Roman" w:eastAsia="仿宋_GB2312" w:cs="Times New Roman"/>
          <w:sz w:val="32"/>
          <w:szCs w:val="32"/>
          <w:highlight w:val="none"/>
          <w:u w:val="none"/>
        </w:rPr>
        <w:t>8</w:t>
      </w:r>
      <w:r>
        <w:rPr>
          <w:rFonts w:hint="eastAsia" w:ascii="仿宋_GB2312" w:hAnsi="仿宋_GB2312" w:eastAsia="仿宋_GB2312" w:cs="仿宋_GB2312"/>
          <w:sz w:val="32"/>
          <w:szCs w:val="32"/>
          <w:highlight w:val="none"/>
          <w:u w:val="none"/>
        </w:rPr>
        <w:t>. 管理费</w:t>
      </w:r>
    </w:p>
    <w:p w14:paraId="03BF922C">
      <w:pPr>
        <w:adjustRightInd w:val="0"/>
        <w:snapToGrid w:val="0"/>
        <w:spacing w:line="580" w:lineRule="exact"/>
        <w:ind w:firstLine="640"/>
        <w:rPr>
          <w:rFonts w:ascii="仿宋_GB2312" w:hAnsi="仿宋_GB2312" w:eastAsia="仿宋_GB2312" w:cs="仿宋_GB2312"/>
          <w:bCs/>
          <w:sz w:val="32"/>
          <w:szCs w:val="32"/>
          <w:highlight w:val="none"/>
          <w:u w:val="none"/>
        </w:rPr>
      </w:pPr>
      <w:r>
        <w:rPr>
          <w:rFonts w:hint="eastAsia" w:ascii="仿宋_GB2312" w:hAnsi="仿宋_GB2312" w:eastAsia="仿宋_GB2312" w:cs="仿宋_GB2312"/>
          <w:sz w:val="32"/>
          <w:szCs w:val="32"/>
          <w:highlight w:val="none"/>
          <w:u w:val="none"/>
        </w:rPr>
        <w:t>基金投资于子基金部分，按不超过基金实缴规模的</w:t>
      </w:r>
      <w:r>
        <w:rPr>
          <w:rFonts w:hint="default" w:ascii="Times New Roman" w:hAnsi="Times New Roman" w:eastAsia="仿宋_GB2312" w:cs="Times New Roman"/>
          <w:sz w:val="32"/>
          <w:szCs w:val="32"/>
          <w:highlight w:val="none"/>
          <w:u w:val="none"/>
        </w:rPr>
        <w:t>0</w:t>
      </w:r>
      <w:r>
        <w:rPr>
          <w:rFonts w:hint="eastAsia" w:ascii="仿宋_GB2312" w:hAnsi="仿宋_GB2312" w:eastAsia="仿宋_GB2312" w:cs="仿宋_GB2312"/>
          <w:sz w:val="32"/>
          <w:szCs w:val="32"/>
          <w:highlight w:val="none"/>
          <w:u w:val="none"/>
        </w:rPr>
        <w:t>.</w:t>
      </w:r>
      <w:r>
        <w:rPr>
          <w:rFonts w:hint="default" w:ascii="Times New Roman" w:hAnsi="Times New Roman" w:eastAsia="仿宋_GB2312" w:cs="Times New Roman"/>
          <w:sz w:val="32"/>
          <w:szCs w:val="32"/>
          <w:highlight w:val="none"/>
          <w:u w:val="none"/>
        </w:rPr>
        <w:t>5</w:t>
      </w:r>
      <w:r>
        <w:rPr>
          <w:rFonts w:hint="eastAsia" w:ascii="仿宋_GB2312" w:hAnsi="仿宋_GB2312" w:eastAsia="仿宋_GB2312" w:cs="仿宋_GB2312"/>
          <w:sz w:val="32"/>
          <w:szCs w:val="32"/>
          <w:highlight w:val="none"/>
          <w:u w:val="none"/>
        </w:rPr>
        <w:t>％/年收取管理费，直投项目部分按不超过</w:t>
      </w:r>
      <w:r>
        <w:rPr>
          <w:rFonts w:hint="default" w:ascii="Times New Roman" w:hAnsi="Times New Roman" w:eastAsia="仿宋_GB2312" w:cs="Times New Roman"/>
          <w:sz w:val="32"/>
          <w:szCs w:val="32"/>
          <w:highlight w:val="none"/>
          <w:u w:val="none"/>
        </w:rPr>
        <w:t>2</w:t>
      </w:r>
      <w:r>
        <w:rPr>
          <w:rFonts w:hint="eastAsia" w:ascii="仿宋_GB2312" w:hAnsi="仿宋_GB2312" w:eastAsia="仿宋_GB2312" w:cs="仿宋_GB2312"/>
          <w:sz w:val="32"/>
          <w:szCs w:val="32"/>
          <w:highlight w:val="none"/>
          <w:u w:val="none"/>
        </w:rPr>
        <w:t>％/年收取管理费。</w:t>
      </w:r>
      <w:r>
        <w:rPr>
          <w:rFonts w:hint="eastAsia" w:ascii="仿宋_GB2312" w:hAnsi="仿宋_GB2312" w:eastAsia="仿宋_GB2312" w:cs="仿宋_GB2312"/>
          <w:bCs/>
          <w:sz w:val="32"/>
          <w:szCs w:val="32"/>
          <w:highlight w:val="none"/>
          <w:u w:val="none"/>
        </w:rPr>
        <w:t>已退出部分不收取管理费（禁止循环投资）。退出期管理费按已投未退的投资金额，比例减半收取。延长期不收取管理费。</w:t>
      </w:r>
    </w:p>
    <w:p w14:paraId="29F75FD3">
      <w:pPr>
        <w:adjustRightInd w:val="0"/>
        <w:snapToGrid w:val="0"/>
        <w:spacing w:line="580" w:lineRule="exact"/>
        <w:ind w:firstLine="640"/>
        <w:rPr>
          <w:rFonts w:ascii="仿宋_GB2312" w:hAnsi="仿宋_GB2312" w:eastAsia="仿宋_GB2312" w:cs="仿宋_GB2312"/>
          <w:color w:val="000000"/>
          <w:kern w:val="0"/>
          <w:sz w:val="32"/>
          <w:szCs w:val="32"/>
          <w:highlight w:val="none"/>
          <w:u w:val="none"/>
        </w:rPr>
      </w:pPr>
      <w:r>
        <w:rPr>
          <w:rFonts w:hint="default" w:ascii="Times New Roman" w:hAnsi="Times New Roman" w:eastAsia="仿宋_GB2312" w:cs="Times New Roman"/>
          <w:color w:val="000000"/>
          <w:kern w:val="0"/>
          <w:sz w:val="32"/>
          <w:szCs w:val="32"/>
          <w:highlight w:val="none"/>
          <w:u w:val="none"/>
        </w:rPr>
        <w:t>9</w:t>
      </w:r>
      <w:r>
        <w:rPr>
          <w:rFonts w:hint="eastAsia" w:ascii="仿宋_GB2312" w:hAnsi="仿宋_GB2312" w:eastAsia="仿宋_GB2312" w:cs="仿宋_GB2312"/>
          <w:color w:val="000000"/>
          <w:kern w:val="0"/>
          <w:sz w:val="32"/>
          <w:szCs w:val="32"/>
          <w:highlight w:val="none"/>
          <w:u w:val="none"/>
        </w:rPr>
        <w:t>. 收益分配</w:t>
      </w:r>
    </w:p>
    <w:p w14:paraId="0074796D">
      <w:pPr>
        <w:adjustRightInd w:val="0"/>
        <w:snapToGrid w:val="0"/>
        <w:spacing w:line="580" w:lineRule="exact"/>
        <w:ind w:firstLine="640"/>
        <w:rPr>
          <w:rFonts w:ascii="仿宋_GB2312" w:hAnsi="仿宋_GB2312" w:eastAsia="仿宋_GB2312" w:cs="仿宋_GB2312"/>
          <w:color w:val="000000"/>
          <w:kern w:val="0"/>
          <w:sz w:val="32"/>
          <w:szCs w:val="32"/>
          <w:highlight w:val="none"/>
          <w:u w:val="none"/>
        </w:rPr>
      </w:pPr>
      <w:r>
        <w:rPr>
          <w:rFonts w:hint="eastAsia" w:ascii="仿宋_GB2312" w:hAnsi="仿宋_GB2312" w:eastAsia="仿宋_GB2312" w:cs="仿宋_GB2312"/>
          <w:color w:val="000000"/>
          <w:kern w:val="0"/>
          <w:sz w:val="32"/>
          <w:szCs w:val="32"/>
          <w:highlight w:val="none"/>
          <w:u w:val="none"/>
        </w:rPr>
        <w:t>采取“整体先回本后分利的原则”，基金综合门槛收益率不低于</w:t>
      </w:r>
      <w:r>
        <w:rPr>
          <w:rFonts w:hint="default" w:ascii="Times New Roman" w:hAnsi="Times New Roman" w:eastAsia="仿宋_GB2312" w:cs="Times New Roman"/>
          <w:color w:val="000000"/>
          <w:kern w:val="0"/>
          <w:sz w:val="32"/>
          <w:szCs w:val="32"/>
          <w:highlight w:val="none"/>
          <w:u w:val="none"/>
        </w:rPr>
        <w:t>6</w:t>
      </w:r>
      <w:r>
        <w:rPr>
          <w:rFonts w:hint="eastAsia" w:ascii="仿宋_GB2312" w:hAnsi="仿宋_GB2312" w:eastAsia="仿宋_GB2312" w:cs="仿宋_GB2312"/>
          <w:color w:val="000000"/>
          <w:kern w:val="0"/>
          <w:sz w:val="32"/>
          <w:szCs w:val="32"/>
          <w:highlight w:val="none"/>
          <w:u w:val="none"/>
        </w:rPr>
        <w:t>％/年，</w:t>
      </w:r>
      <w:r>
        <w:rPr>
          <w:rFonts w:hint="eastAsia" w:ascii="仿宋_GB2312" w:hAnsi="仿宋_GB2312" w:eastAsia="仿宋_GB2312" w:cs="仿宋_GB2312"/>
          <w:sz w:val="32"/>
          <w:szCs w:val="32"/>
          <w:highlight w:val="none"/>
          <w:u w:val="none"/>
        </w:rPr>
        <w:t>在基金年化收益率超过约定门槛收益率时，对基金管理</w:t>
      </w:r>
      <w:r>
        <w:rPr>
          <w:rFonts w:hint="eastAsia" w:ascii="仿宋_GB2312" w:hAnsi="仿宋_GB2312" w:eastAsia="仿宋_GB2312" w:cs="仿宋_GB2312"/>
          <w:sz w:val="32"/>
          <w:szCs w:val="32"/>
          <w:highlight w:val="none"/>
          <w:u w:val="none"/>
          <w:lang w:val="en-US" w:eastAsia="zh-CN"/>
        </w:rPr>
        <w:t>人</w:t>
      </w:r>
      <w:r>
        <w:rPr>
          <w:rFonts w:hint="eastAsia" w:ascii="仿宋_GB2312" w:hAnsi="仿宋_GB2312" w:eastAsia="仿宋_GB2312" w:cs="仿宋_GB2312"/>
          <w:sz w:val="32"/>
          <w:szCs w:val="32"/>
          <w:highlight w:val="none"/>
          <w:u w:val="none"/>
        </w:rPr>
        <w:t>进行超额收益奖励，比例一般不超过超额收益部分的</w:t>
      </w:r>
      <w:r>
        <w:rPr>
          <w:rFonts w:hint="default" w:ascii="Times New Roman" w:hAnsi="Times New Roman" w:eastAsia="仿宋_GB2312" w:cs="Times New Roman"/>
          <w:sz w:val="32"/>
          <w:szCs w:val="32"/>
          <w:highlight w:val="none"/>
          <w:u w:val="none"/>
        </w:rPr>
        <w:t>20</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color w:val="000000"/>
          <w:kern w:val="0"/>
          <w:sz w:val="32"/>
          <w:szCs w:val="32"/>
          <w:highlight w:val="none"/>
          <w:u w:val="none"/>
        </w:rPr>
        <w:t>。</w:t>
      </w:r>
    </w:p>
    <w:p w14:paraId="344483DA">
      <w:pPr>
        <w:adjustRightInd w:val="0"/>
        <w:snapToGrid w:val="0"/>
        <w:spacing w:line="580" w:lineRule="exact"/>
        <w:ind w:firstLine="640"/>
        <w:rPr>
          <w:rFonts w:ascii="黑体" w:hAnsi="黑体" w:eastAsia="黑体" w:cs="黑体"/>
          <w:sz w:val="32"/>
          <w:szCs w:val="32"/>
          <w:highlight w:val="none"/>
          <w:u w:val="none"/>
        </w:rPr>
      </w:pPr>
      <w:r>
        <w:rPr>
          <w:rFonts w:hint="eastAsia" w:ascii="黑体" w:hAnsi="黑体" w:eastAsia="黑体" w:cs="黑体"/>
          <w:sz w:val="32"/>
          <w:szCs w:val="32"/>
          <w:highlight w:val="none"/>
          <w:u w:val="none"/>
        </w:rPr>
        <w:t>二、管理机构应具备的条件</w:t>
      </w:r>
      <w:bookmarkEnd w:id="12"/>
      <w:bookmarkEnd w:id="13"/>
      <w:bookmarkEnd w:id="14"/>
      <w:bookmarkEnd w:id="15"/>
      <w:bookmarkStart w:id="17" w:name="_Toc21668_WPSOffice_Level2"/>
      <w:bookmarkStart w:id="18" w:name="_Toc23442_WPSOffice_Level2"/>
      <w:bookmarkStart w:id="19" w:name="_Toc32402_WPSOffice_Level2"/>
      <w:bookmarkStart w:id="20" w:name="_Toc4327_WPSOffice_Level2"/>
    </w:p>
    <w:bookmarkEnd w:id="17"/>
    <w:bookmarkEnd w:id="18"/>
    <w:bookmarkEnd w:id="19"/>
    <w:bookmarkEnd w:id="20"/>
    <w:p w14:paraId="1FE4D704">
      <w:pPr>
        <w:pStyle w:val="13"/>
        <w:adjustRightInd w:val="0"/>
        <w:snapToGrid w:val="0"/>
        <w:spacing w:line="580" w:lineRule="exact"/>
        <w:ind w:firstLine="640"/>
        <w:rPr>
          <w:rFonts w:ascii="楷体_GB2312" w:hAnsi="楷体_GB2312" w:eastAsia="楷体_GB2312" w:cs="楷体_GB2312"/>
          <w:sz w:val="32"/>
          <w:szCs w:val="32"/>
          <w:highlight w:val="none"/>
          <w:u w:val="none"/>
        </w:rPr>
      </w:pPr>
      <w:bookmarkStart w:id="21" w:name="_Toc23326_WPSOffice_Level1"/>
      <w:bookmarkStart w:id="22" w:name="_Toc23425_WPSOffice_Level1"/>
      <w:bookmarkStart w:id="23" w:name="_Toc21225_WPSOffice_Level1"/>
      <w:bookmarkStart w:id="24" w:name="_Toc27377_WPSOffice_Level1"/>
      <w:r>
        <w:rPr>
          <w:rFonts w:hint="eastAsia" w:ascii="楷体_GB2312" w:hAnsi="楷体_GB2312" w:eastAsia="楷体_GB2312" w:cs="楷体_GB2312"/>
          <w:sz w:val="32"/>
          <w:szCs w:val="32"/>
          <w:highlight w:val="none"/>
          <w:u w:val="none"/>
        </w:rPr>
        <w:t>（一）管理资质</w:t>
      </w:r>
    </w:p>
    <w:p w14:paraId="6CA63CC9">
      <w:pPr>
        <w:pStyle w:val="13"/>
        <w:adjustRightInd w:val="0"/>
        <w:snapToGrid w:val="0"/>
        <w:spacing w:line="580" w:lineRule="exact"/>
        <w:ind w:firstLine="640"/>
        <w:rPr>
          <w:rFonts w:ascii="仿宋_GB2312" w:hAnsi="仿宋_GB2312" w:eastAsia="仿宋_GB2312" w:cs="仿宋_GB2312"/>
          <w:snapToGrid w:val="0"/>
          <w:kern w:val="0"/>
          <w:sz w:val="32"/>
          <w:szCs w:val="32"/>
          <w:highlight w:val="none"/>
          <w:u w:val="none"/>
        </w:rPr>
      </w:pPr>
      <w:r>
        <w:rPr>
          <w:rFonts w:hint="eastAsia" w:ascii="仿宋_GB2312" w:hAnsi="仿宋_GB2312" w:eastAsia="仿宋_GB2312" w:cs="仿宋_GB2312"/>
          <w:sz w:val="32"/>
          <w:szCs w:val="32"/>
          <w:highlight w:val="none"/>
          <w:u w:val="none"/>
        </w:rPr>
        <w:t>在中华人民共和国境内依法设立，实缴注册资本不低于</w:t>
      </w:r>
      <w:r>
        <w:rPr>
          <w:rFonts w:hint="default" w:ascii="Times New Roman" w:hAnsi="Times New Roman" w:eastAsia="仿宋_GB2312" w:cs="Times New Roman"/>
          <w:sz w:val="32"/>
          <w:szCs w:val="32"/>
          <w:highlight w:val="none"/>
          <w:u w:val="none"/>
        </w:rPr>
        <w:t>1000</w:t>
      </w:r>
      <w:r>
        <w:rPr>
          <w:rFonts w:hint="eastAsia" w:ascii="仿宋_GB2312" w:hAnsi="仿宋_GB2312" w:eastAsia="仿宋_GB2312" w:cs="仿宋_GB2312"/>
          <w:sz w:val="32"/>
          <w:szCs w:val="32"/>
          <w:highlight w:val="none"/>
          <w:u w:val="none"/>
        </w:rPr>
        <w:t>万元人民币，且已在相关主管部门或行业自律组织登记备案。</w:t>
      </w:r>
      <w:r>
        <w:rPr>
          <w:rFonts w:hint="eastAsia" w:ascii="仿宋_GB2312" w:hAnsi="仿宋_GB2312" w:eastAsia="仿宋_GB2312" w:cs="仿宋_GB2312"/>
          <w:snapToGrid w:val="0"/>
          <w:kern w:val="0"/>
          <w:sz w:val="32"/>
          <w:szCs w:val="32"/>
          <w:highlight w:val="none"/>
          <w:u w:val="none"/>
        </w:rPr>
        <w:t>允许基金管理机构与其他合作方组成联合体参与基金管理</w:t>
      </w:r>
      <w:r>
        <w:rPr>
          <w:rFonts w:hint="eastAsia" w:ascii="仿宋_GB2312" w:hAnsi="仿宋_GB2312" w:eastAsia="仿宋_GB2312" w:cs="仿宋_GB2312"/>
          <w:snapToGrid w:val="0"/>
          <w:kern w:val="0"/>
          <w:sz w:val="32"/>
          <w:szCs w:val="32"/>
          <w:highlight w:val="none"/>
          <w:u w:val="none"/>
          <w:lang w:val="en-US" w:eastAsia="zh-CN"/>
        </w:rPr>
        <w:t>机构</w:t>
      </w:r>
      <w:r>
        <w:rPr>
          <w:rFonts w:hint="eastAsia" w:ascii="仿宋_GB2312" w:hAnsi="仿宋_GB2312" w:eastAsia="仿宋_GB2312" w:cs="仿宋_GB2312"/>
          <w:snapToGrid w:val="0"/>
          <w:kern w:val="0"/>
          <w:sz w:val="32"/>
          <w:szCs w:val="32"/>
          <w:highlight w:val="none"/>
          <w:u w:val="none"/>
        </w:rPr>
        <w:t>遴选，联合体方案必须符合相关法律法规及政策的规定。</w:t>
      </w:r>
    </w:p>
    <w:p w14:paraId="127D4A53">
      <w:pPr>
        <w:pStyle w:val="13"/>
        <w:adjustRightInd w:val="0"/>
        <w:snapToGrid w:val="0"/>
        <w:spacing w:line="580" w:lineRule="exact"/>
        <w:ind w:firstLine="640"/>
        <w:rPr>
          <w:rFonts w:ascii="楷体_GB2312" w:hAnsi="楷体_GB2312" w:eastAsia="楷体_GB2312" w:cs="楷体_GB2312"/>
          <w:sz w:val="32"/>
          <w:szCs w:val="32"/>
          <w:highlight w:val="none"/>
          <w:u w:val="none"/>
        </w:rPr>
      </w:pPr>
      <w:r>
        <w:rPr>
          <w:rFonts w:hint="eastAsia" w:ascii="楷体_GB2312" w:hAnsi="楷体_GB2312" w:eastAsia="楷体_GB2312" w:cs="楷体_GB2312"/>
          <w:sz w:val="32"/>
          <w:szCs w:val="32"/>
          <w:highlight w:val="none"/>
          <w:u w:val="none"/>
        </w:rPr>
        <w:t>（二）合法合规</w:t>
      </w:r>
    </w:p>
    <w:p w14:paraId="2C1D9FA5">
      <w:pPr>
        <w:pStyle w:val="13"/>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基金管理机构最近三年未受到有权监管机构的重大处罚，且无重大事项正在接受司法部门、监管机构的立案调查。</w:t>
      </w:r>
    </w:p>
    <w:p w14:paraId="6212C62C">
      <w:pPr>
        <w:pStyle w:val="13"/>
        <w:adjustRightInd w:val="0"/>
        <w:snapToGrid w:val="0"/>
        <w:spacing w:line="580" w:lineRule="exact"/>
        <w:ind w:firstLine="640"/>
        <w:rPr>
          <w:rFonts w:ascii="楷体_GB2312" w:hAnsi="楷体_GB2312" w:eastAsia="楷体_GB2312" w:cs="楷体_GB2312"/>
          <w:sz w:val="32"/>
          <w:szCs w:val="32"/>
          <w:highlight w:val="none"/>
          <w:u w:val="none"/>
        </w:rPr>
      </w:pPr>
      <w:r>
        <w:rPr>
          <w:rFonts w:hint="eastAsia" w:ascii="楷体_GB2312" w:hAnsi="楷体_GB2312" w:eastAsia="楷体_GB2312" w:cs="楷体_GB2312"/>
          <w:sz w:val="32"/>
          <w:szCs w:val="32"/>
          <w:highlight w:val="none"/>
          <w:u w:val="none"/>
        </w:rPr>
        <w:t>（三）治理完善</w:t>
      </w:r>
    </w:p>
    <w:p w14:paraId="2D6218EA">
      <w:pPr>
        <w:pStyle w:val="13"/>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基金管理机构的公司治理、内控机制等管理制度健全，有规范的项目遴选机制、投资决策机制、风险控制机制和财务运营机制等。</w:t>
      </w:r>
    </w:p>
    <w:p w14:paraId="24BBF1FF">
      <w:pPr>
        <w:pStyle w:val="13"/>
        <w:adjustRightInd w:val="0"/>
        <w:snapToGrid w:val="0"/>
        <w:spacing w:line="580" w:lineRule="exact"/>
        <w:ind w:firstLine="640"/>
        <w:rPr>
          <w:rFonts w:ascii="楷体_GB2312" w:hAnsi="楷体_GB2312" w:eastAsia="楷体_GB2312" w:cs="楷体_GB2312"/>
          <w:sz w:val="32"/>
          <w:szCs w:val="32"/>
          <w:highlight w:val="none"/>
          <w:u w:val="none"/>
        </w:rPr>
      </w:pPr>
      <w:r>
        <w:rPr>
          <w:rFonts w:hint="eastAsia" w:ascii="楷体_GB2312" w:hAnsi="楷体_GB2312" w:eastAsia="楷体_GB2312" w:cs="楷体_GB2312"/>
          <w:sz w:val="32"/>
          <w:szCs w:val="32"/>
          <w:highlight w:val="none"/>
          <w:u w:val="none"/>
        </w:rPr>
        <w:t>（四）团队配备</w:t>
      </w:r>
    </w:p>
    <w:p w14:paraId="627AC82B">
      <w:pPr>
        <w:pStyle w:val="13"/>
        <w:adjustRightInd w:val="0"/>
        <w:snapToGrid w:val="0"/>
        <w:spacing w:line="580" w:lineRule="exact"/>
        <w:ind w:firstLine="640"/>
        <w:rPr>
          <w:rFonts w:ascii="仿宋_GB2312" w:hAnsi="仿宋_GB2312" w:eastAsia="仿宋_GB2312" w:cs="仿宋_GB2312"/>
          <w:snapToGrid w:val="0"/>
          <w:kern w:val="0"/>
          <w:sz w:val="32"/>
          <w:szCs w:val="32"/>
          <w:highlight w:val="none"/>
          <w:u w:val="none"/>
        </w:rPr>
      </w:pPr>
      <w:r>
        <w:rPr>
          <w:rFonts w:hint="eastAsia" w:ascii="仿宋_GB2312" w:hAnsi="仿宋_GB2312" w:eastAsia="仿宋_GB2312" w:cs="仿宋_GB2312"/>
          <w:snapToGrid w:val="0"/>
          <w:kern w:val="0"/>
          <w:sz w:val="32"/>
          <w:szCs w:val="32"/>
          <w:highlight w:val="none"/>
          <w:u w:val="none"/>
        </w:rPr>
        <w:t>基金管理机构须具有母基金管理经验，为基金配备配合默契的管理团队。管理团队整体人员达</w:t>
      </w:r>
      <w:r>
        <w:rPr>
          <w:rFonts w:hint="default" w:ascii="Times New Roman" w:hAnsi="Times New Roman" w:eastAsia="仿宋_GB2312" w:cs="Times New Roman"/>
          <w:snapToGrid w:val="0"/>
          <w:kern w:val="0"/>
          <w:sz w:val="32"/>
          <w:szCs w:val="32"/>
          <w:highlight w:val="none"/>
          <w:u w:val="none"/>
        </w:rPr>
        <w:t>20</w:t>
      </w:r>
      <w:r>
        <w:rPr>
          <w:rFonts w:hint="eastAsia" w:ascii="仿宋_GB2312" w:hAnsi="仿宋_GB2312" w:eastAsia="仿宋_GB2312" w:cs="仿宋_GB2312"/>
          <w:snapToGrid w:val="0"/>
          <w:kern w:val="0"/>
          <w:sz w:val="32"/>
          <w:szCs w:val="32"/>
          <w:highlight w:val="none"/>
          <w:u w:val="none"/>
        </w:rPr>
        <w:t>名或以上，其中，需具备</w:t>
      </w:r>
      <w:r>
        <w:rPr>
          <w:rFonts w:hint="default" w:ascii="Times New Roman" w:hAnsi="Times New Roman" w:eastAsia="仿宋_GB2312" w:cs="Times New Roman"/>
          <w:snapToGrid w:val="0"/>
          <w:kern w:val="0"/>
          <w:sz w:val="32"/>
          <w:szCs w:val="32"/>
          <w:highlight w:val="none"/>
          <w:u w:val="none"/>
        </w:rPr>
        <w:t>5</w:t>
      </w:r>
      <w:r>
        <w:rPr>
          <w:rFonts w:hint="eastAsia" w:ascii="仿宋_GB2312" w:hAnsi="仿宋_GB2312" w:eastAsia="仿宋_GB2312" w:cs="仿宋_GB2312"/>
          <w:snapToGrid w:val="0"/>
          <w:kern w:val="0"/>
          <w:sz w:val="32"/>
          <w:szCs w:val="32"/>
          <w:highlight w:val="none"/>
          <w:u w:val="none"/>
        </w:rPr>
        <w:t>年以上母基金管理和项目直投领域经验的人员至少各</w:t>
      </w:r>
      <w:r>
        <w:rPr>
          <w:rFonts w:hint="default" w:ascii="Times New Roman" w:hAnsi="Times New Roman" w:eastAsia="仿宋_GB2312" w:cs="Times New Roman"/>
          <w:snapToGrid w:val="0"/>
          <w:kern w:val="0"/>
          <w:sz w:val="32"/>
          <w:szCs w:val="32"/>
          <w:highlight w:val="none"/>
          <w:u w:val="none"/>
        </w:rPr>
        <w:t>2</w:t>
      </w:r>
      <w:r>
        <w:rPr>
          <w:rFonts w:hint="eastAsia" w:ascii="仿宋_GB2312" w:hAnsi="仿宋_GB2312" w:eastAsia="仿宋_GB2312" w:cs="仿宋_GB2312"/>
          <w:snapToGrid w:val="0"/>
          <w:kern w:val="0"/>
          <w:sz w:val="32"/>
          <w:szCs w:val="32"/>
          <w:highlight w:val="none"/>
          <w:u w:val="none"/>
        </w:rPr>
        <w:t xml:space="preserve">名（共 </w:t>
      </w:r>
      <w:r>
        <w:rPr>
          <w:rFonts w:hint="default" w:ascii="Times New Roman" w:hAnsi="Times New Roman" w:eastAsia="仿宋_GB2312" w:cs="Times New Roman"/>
          <w:snapToGrid w:val="0"/>
          <w:kern w:val="0"/>
          <w:sz w:val="32"/>
          <w:szCs w:val="32"/>
          <w:highlight w:val="none"/>
          <w:u w:val="none"/>
        </w:rPr>
        <w:t>4</w:t>
      </w:r>
      <w:r>
        <w:rPr>
          <w:rFonts w:hint="eastAsia" w:ascii="仿宋_GB2312" w:hAnsi="仿宋_GB2312" w:eastAsia="仿宋_GB2312" w:cs="仿宋_GB2312"/>
          <w:snapToGrid w:val="0"/>
          <w:kern w:val="0"/>
          <w:sz w:val="32"/>
          <w:szCs w:val="32"/>
          <w:highlight w:val="none"/>
          <w:u w:val="none"/>
        </w:rPr>
        <w:t>人，其中，至少一名需为管理机构高管人员），并通过合伙协议锁定为关键人士，基金存续期内关键人士如发生变动，须经全体合伙人决议通过。</w:t>
      </w:r>
    </w:p>
    <w:p w14:paraId="74AE6BA5">
      <w:pPr>
        <w:pStyle w:val="13"/>
        <w:adjustRightInd w:val="0"/>
        <w:snapToGrid w:val="0"/>
        <w:spacing w:line="580" w:lineRule="exact"/>
        <w:ind w:firstLine="640"/>
        <w:rPr>
          <w:rFonts w:ascii="仿宋_GB2312" w:hAnsi="仿宋_GB2312" w:eastAsia="仿宋_GB2312" w:cs="仿宋_GB2312"/>
          <w:snapToGrid w:val="0"/>
          <w:kern w:val="0"/>
          <w:sz w:val="32"/>
          <w:szCs w:val="32"/>
          <w:highlight w:val="none"/>
          <w:u w:val="none"/>
        </w:rPr>
      </w:pPr>
      <w:r>
        <w:rPr>
          <w:rFonts w:hint="eastAsia" w:ascii="仿宋_GB2312" w:hAnsi="仿宋_GB2312" w:eastAsia="仿宋_GB2312" w:cs="仿宋_GB2312"/>
          <w:snapToGrid w:val="0"/>
          <w:kern w:val="0"/>
          <w:sz w:val="32"/>
          <w:szCs w:val="32"/>
          <w:highlight w:val="none"/>
          <w:u w:val="none"/>
        </w:rPr>
        <w:t>管理团队需配备</w:t>
      </w:r>
      <w:r>
        <w:rPr>
          <w:rFonts w:hint="default" w:ascii="Times New Roman" w:hAnsi="Times New Roman" w:eastAsia="仿宋_GB2312" w:cs="Times New Roman"/>
          <w:snapToGrid w:val="0"/>
          <w:kern w:val="0"/>
          <w:sz w:val="32"/>
          <w:szCs w:val="32"/>
          <w:highlight w:val="none"/>
          <w:u w:val="none"/>
        </w:rPr>
        <w:t>6</w:t>
      </w:r>
      <w:r>
        <w:rPr>
          <w:rFonts w:hint="eastAsia" w:ascii="仿宋_GB2312" w:hAnsi="仿宋_GB2312" w:eastAsia="仿宋_GB2312" w:cs="仿宋_GB2312"/>
          <w:snapToGrid w:val="0"/>
          <w:kern w:val="0"/>
          <w:sz w:val="32"/>
          <w:szCs w:val="32"/>
          <w:highlight w:val="none"/>
          <w:u w:val="none"/>
        </w:rPr>
        <w:t>名专业投资成员为团队核心人员，团队核心人员在完成基金最终确认</w:t>
      </w:r>
      <w:r>
        <w:rPr>
          <w:rFonts w:hint="eastAsia" w:ascii="仿宋_GB2312" w:hAnsi="仿宋_GB2312" w:eastAsia="仿宋_GB2312" w:cs="仿宋_GB2312"/>
          <w:snapToGrid w:val="0"/>
          <w:kern w:val="0"/>
          <w:sz w:val="32"/>
          <w:szCs w:val="32"/>
          <w:highlight w:val="none"/>
          <w:u w:val="none"/>
          <w:lang w:val="en-US" w:eastAsia="zh-CN"/>
        </w:rPr>
        <w:t>全部</w:t>
      </w:r>
      <w:r>
        <w:rPr>
          <w:rFonts w:hint="eastAsia" w:ascii="仿宋_GB2312" w:hAnsi="仿宋_GB2312" w:eastAsia="仿宋_GB2312" w:cs="仿宋_GB2312"/>
          <w:snapToGrid w:val="0"/>
          <w:kern w:val="0"/>
          <w:sz w:val="32"/>
          <w:szCs w:val="32"/>
          <w:highlight w:val="none"/>
          <w:u w:val="none"/>
        </w:rPr>
        <w:t>首期</w:t>
      </w:r>
      <w:r>
        <w:rPr>
          <w:rFonts w:hint="eastAsia" w:ascii="仿宋_GB2312" w:hAnsi="仿宋_GB2312" w:eastAsia="仿宋_GB2312" w:cs="仿宋_GB2312"/>
          <w:snapToGrid w:val="0"/>
          <w:kern w:val="0"/>
          <w:sz w:val="32"/>
          <w:szCs w:val="32"/>
          <w:highlight w:val="none"/>
          <w:u w:val="none"/>
          <w:lang w:val="en-US" w:eastAsia="zh-CN"/>
        </w:rPr>
        <w:t>实缴</w:t>
      </w:r>
      <w:r>
        <w:rPr>
          <w:rFonts w:hint="eastAsia" w:ascii="仿宋_GB2312" w:hAnsi="仿宋_GB2312" w:eastAsia="仿宋_GB2312" w:cs="仿宋_GB2312"/>
          <w:snapToGrid w:val="0"/>
          <w:kern w:val="0"/>
          <w:sz w:val="32"/>
          <w:szCs w:val="32"/>
          <w:highlight w:val="none"/>
          <w:u w:val="none"/>
        </w:rPr>
        <w:t>规模</w:t>
      </w:r>
      <w:r>
        <w:rPr>
          <w:rFonts w:hint="default" w:ascii="Times New Roman" w:hAnsi="Times New Roman" w:eastAsia="仿宋_GB2312" w:cs="Times New Roman"/>
          <w:snapToGrid w:val="0"/>
          <w:kern w:val="0"/>
          <w:sz w:val="32"/>
          <w:szCs w:val="32"/>
          <w:highlight w:val="none"/>
          <w:u w:val="none"/>
        </w:rPr>
        <w:t>70</w:t>
      </w:r>
      <w:r>
        <w:rPr>
          <w:rFonts w:hint="eastAsia" w:ascii="仿宋_GB2312" w:hAnsi="仿宋_GB2312" w:eastAsia="仿宋_GB2312" w:cs="仿宋_GB2312"/>
          <w:snapToGrid w:val="0"/>
          <w:kern w:val="0"/>
          <w:sz w:val="32"/>
          <w:szCs w:val="32"/>
          <w:highlight w:val="none"/>
          <w:u w:val="none"/>
        </w:rPr>
        <w:t>％的资金投资之前，需保证专职负责本基金管理工作，不能在其他基金管理机构兼职或参与其他基金的管理。</w:t>
      </w:r>
    </w:p>
    <w:p w14:paraId="54B21817">
      <w:pPr>
        <w:pStyle w:val="13"/>
        <w:adjustRightInd w:val="0"/>
        <w:snapToGrid w:val="0"/>
        <w:spacing w:line="580" w:lineRule="exact"/>
        <w:ind w:firstLine="640"/>
        <w:rPr>
          <w:rFonts w:ascii="楷体_GB2312" w:hAnsi="楷体_GB2312" w:eastAsia="楷体_GB2312" w:cs="楷体_GB2312"/>
          <w:sz w:val="32"/>
          <w:szCs w:val="32"/>
          <w:highlight w:val="none"/>
          <w:u w:val="none"/>
        </w:rPr>
      </w:pPr>
      <w:r>
        <w:rPr>
          <w:rFonts w:hint="eastAsia" w:ascii="楷体_GB2312" w:hAnsi="楷体_GB2312" w:eastAsia="楷体_GB2312" w:cs="楷体_GB2312"/>
          <w:sz w:val="32"/>
          <w:szCs w:val="32"/>
          <w:highlight w:val="none"/>
          <w:u w:val="none"/>
        </w:rPr>
        <w:t>（五）第一负责人</w:t>
      </w:r>
    </w:p>
    <w:p w14:paraId="6D184C89">
      <w:pPr>
        <w:pStyle w:val="13"/>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基金管理机构</w:t>
      </w:r>
      <w:r>
        <w:rPr>
          <w:rFonts w:hint="eastAsia" w:ascii="仿宋_GB2312" w:hAnsi="仿宋_GB2312" w:eastAsia="仿宋_GB2312" w:cs="仿宋_GB2312"/>
          <w:sz w:val="32"/>
          <w:szCs w:val="32"/>
          <w:highlight w:val="none"/>
          <w:u w:val="none"/>
          <w:lang w:val="en-US" w:eastAsia="zh-CN"/>
        </w:rPr>
        <w:t>应</w:t>
      </w:r>
      <w:r>
        <w:rPr>
          <w:rFonts w:hint="eastAsia" w:ascii="仿宋_GB2312" w:hAnsi="仿宋_GB2312" w:eastAsia="仿宋_GB2312" w:cs="仿宋_GB2312"/>
          <w:sz w:val="32"/>
          <w:szCs w:val="32"/>
          <w:highlight w:val="none"/>
          <w:u w:val="none"/>
        </w:rPr>
        <w:t>明确关键人士中</w:t>
      </w:r>
      <w:r>
        <w:rPr>
          <w:rFonts w:hint="eastAsia" w:ascii="仿宋_GB2312" w:hAnsi="仿宋_GB2312" w:eastAsia="仿宋_GB2312" w:cs="仿宋_GB2312"/>
          <w:sz w:val="32"/>
          <w:szCs w:val="32"/>
          <w:highlight w:val="none"/>
          <w:u w:val="none"/>
          <w:lang w:val="en-US" w:eastAsia="zh-CN"/>
        </w:rPr>
        <w:t>有</w:t>
      </w:r>
      <w:r>
        <w:rPr>
          <w:rFonts w:hint="eastAsia" w:ascii="仿宋_GB2312" w:hAnsi="仿宋_GB2312" w:eastAsia="仿宋_GB2312" w:cs="仿宋_GB2312"/>
          <w:sz w:val="32"/>
          <w:szCs w:val="32"/>
          <w:highlight w:val="none"/>
          <w:u w:val="none"/>
        </w:rPr>
        <w:t>一名</w:t>
      </w:r>
      <w:r>
        <w:rPr>
          <w:rFonts w:hint="eastAsia" w:ascii="仿宋_GB2312" w:hAnsi="仿宋_GB2312" w:eastAsia="仿宋_GB2312" w:cs="仿宋_GB2312"/>
          <w:sz w:val="32"/>
          <w:szCs w:val="32"/>
          <w:highlight w:val="none"/>
          <w:u w:val="none"/>
          <w:lang w:val="en-US" w:eastAsia="zh-CN"/>
        </w:rPr>
        <w:t>成员</w:t>
      </w:r>
      <w:r>
        <w:rPr>
          <w:rFonts w:hint="eastAsia" w:ascii="仿宋_GB2312" w:hAnsi="仿宋_GB2312" w:eastAsia="仿宋_GB2312" w:cs="仿宋_GB2312"/>
          <w:sz w:val="32"/>
          <w:szCs w:val="32"/>
          <w:highlight w:val="none"/>
          <w:u w:val="none"/>
        </w:rPr>
        <w:t>为团队第一负责人，需具备以下条件：</w:t>
      </w:r>
    </w:p>
    <w:p w14:paraId="748F859A">
      <w:pPr>
        <w:pStyle w:val="13"/>
        <w:adjustRightInd w:val="0"/>
        <w:snapToGrid w:val="0"/>
        <w:spacing w:line="580" w:lineRule="exact"/>
        <w:ind w:firstLine="640"/>
        <w:rPr>
          <w:rFonts w:ascii="仿宋_GB2312" w:hAnsi="仿宋_GB2312" w:eastAsia="仿宋_GB2312" w:cs="仿宋_GB2312"/>
          <w:sz w:val="32"/>
          <w:szCs w:val="32"/>
          <w:highlight w:val="none"/>
          <w:u w:val="none"/>
        </w:rPr>
      </w:pPr>
      <w:r>
        <w:rPr>
          <w:rFonts w:hint="default" w:ascii="Times New Roman" w:hAnsi="Times New Roman" w:eastAsia="仿宋_GB2312" w:cs="Times New Roman"/>
          <w:sz w:val="32"/>
          <w:szCs w:val="32"/>
          <w:highlight w:val="none"/>
          <w:u w:val="none"/>
        </w:rPr>
        <w:t>1</w:t>
      </w:r>
      <w:r>
        <w:rPr>
          <w:rFonts w:hint="eastAsia" w:ascii="仿宋_GB2312" w:hAnsi="仿宋_GB2312" w:eastAsia="仿宋_GB2312" w:cs="仿宋_GB2312"/>
          <w:sz w:val="32"/>
          <w:szCs w:val="32"/>
          <w:highlight w:val="none"/>
          <w:u w:val="none"/>
        </w:rPr>
        <w:t>. 符合《中华人民共和国公司法》等相关法律法规中规定的高级管理人员任职要求，本科及以上学历，品行端正，拥护党的领导，责任心强，遵纪守法，身体健康，曾担任三年以上大型投资机构（或基金公司）高级管理人员，并具备五年以上母基金运作经验或五年以上项目直投基金运作经验。</w:t>
      </w:r>
    </w:p>
    <w:p w14:paraId="1A9E6D65">
      <w:pPr>
        <w:pStyle w:val="13"/>
        <w:adjustRightInd w:val="0"/>
        <w:snapToGrid w:val="0"/>
        <w:spacing w:line="580" w:lineRule="exact"/>
        <w:ind w:firstLine="640"/>
        <w:rPr>
          <w:rFonts w:hint="eastAsia" w:ascii="仿宋_GB2312" w:hAnsi="仿宋_GB2312" w:eastAsia="仿宋_GB2312" w:cs="仿宋_GB2312"/>
          <w:sz w:val="32"/>
          <w:szCs w:val="32"/>
          <w:highlight w:val="none"/>
          <w:u w:val="none"/>
        </w:rPr>
      </w:pPr>
      <w:r>
        <w:rPr>
          <w:rFonts w:hint="default" w:ascii="Times New Roman" w:hAnsi="Times New Roman" w:eastAsia="仿宋_GB2312" w:cs="Times New Roman"/>
          <w:sz w:val="32"/>
          <w:szCs w:val="32"/>
          <w:highlight w:val="none"/>
          <w:u w:val="none"/>
          <w:lang w:val="en-US" w:eastAsia="zh-CN"/>
        </w:rPr>
        <w:t>2</w:t>
      </w:r>
      <w:r>
        <w:rPr>
          <w:rFonts w:hint="eastAsia" w:ascii="仿宋_GB2312" w:hAnsi="仿宋_GB2312" w:eastAsia="仿宋_GB2312" w:cs="仿宋_GB2312"/>
          <w:sz w:val="32"/>
          <w:szCs w:val="32"/>
          <w:highlight w:val="none"/>
          <w:u w:val="none"/>
        </w:rPr>
        <w:t>. 符合法律法规对于从事私募基金业务专业人员的要求。诚实守信，最近三年没有重大失信记录，未被中国证监会采取市场禁入措施。</w:t>
      </w:r>
    </w:p>
    <w:p w14:paraId="382C4F5B">
      <w:pPr>
        <w:pStyle w:val="13"/>
        <w:adjustRightInd w:val="0"/>
        <w:snapToGrid w:val="0"/>
        <w:spacing w:line="580" w:lineRule="exact"/>
        <w:ind w:firstLine="640"/>
        <w:rPr>
          <w:rFonts w:ascii="仿宋_GB2312" w:hAnsi="仿宋_GB2312" w:eastAsia="仿宋_GB2312" w:cs="仿宋_GB2312"/>
          <w:sz w:val="32"/>
          <w:szCs w:val="32"/>
          <w:highlight w:val="none"/>
          <w:u w:val="none"/>
        </w:rPr>
      </w:pPr>
      <w:r>
        <w:rPr>
          <w:rFonts w:hint="default" w:ascii="Times New Roman" w:hAnsi="Times New Roman" w:eastAsia="仿宋_GB2312" w:cs="Times New Roman"/>
          <w:sz w:val="32"/>
          <w:szCs w:val="32"/>
          <w:highlight w:val="none"/>
          <w:u w:val="none"/>
          <w:lang w:val="en-US" w:eastAsia="zh-CN"/>
        </w:rPr>
        <w:t>3</w:t>
      </w:r>
      <w:r>
        <w:rPr>
          <w:rFonts w:hint="eastAsia" w:ascii="仿宋_GB2312" w:hAnsi="仿宋_GB2312" w:eastAsia="仿宋_GB2312" w:cs="仿宋_GB2312"/>
          <w:sz w:val="32"/>
          <w:szCs w:val="32"/>
          <w:highlight w:val="none"/>
          <w:u w:val="none"/>
        </w:rPr>
        <w:t>. 具备科技创新的国际化视野，熟悉国内外战略性新兴产业的发展动态，把握科技创新和经济产业社会发展趋势；熟悉科技创新和科技成果转化工作，尤其是</w:t>
      </w:r>
      <w:r>
        <w:rPr>
          <w:rFonts w:hint="eastAsia" w:ascii="仿宋_GB2312" w:hAnsi="仿宋_GB2312" w:eastAsia="仿宋_GB2312" w:cs="仿宋_GB2312"/>
          <w:sz w:val="32"/>
          <w:szCs w:val="32"/>
          <w:highlight w:val="none"/>
          <w:u w:val="none"/>
          <w:lang w:val="en-US" w:eastAsia="zh-CN"/>
        </w:rPr>
        <w:t>在</w:t>
      </w:r>
      <w:r>
        <w:rPr>
          <w:rFonts w:hint="eastAsia" w:ascii="仿宋_GB2312" w:hAnsi="仿宋_GB2312" w:eastAsia="仿宋_GB2312" w:cs="仿宋_GB2312"/>
          <w:sz w:val="32"/>
          <w:szCs w:val="32"/>
          <w:highlight w:val="none"/>
          <w:u w:val="none"/>
        </w:rPr>
        <w:t>推动具有早期原始创新的重大科技成果转化、推动国内外高端创新人才科技成果转化方面具备丰富工作经验和成功案例者优先。</w:t>
      </w:r>
    </w:p>
    <w:p w14:paraId="527F7F86">
      <w:pPr>
        <w:pStyle w:val="13"/>
        <w:adjustRightInd w:val="0"/>
        <w:snapToGrid w:val="0"/>
        <w:spacing w:line="580" w:lineRule="exact"/>
        <w:ind w:firstLine="640"/>
        <w:rPr>
          <w:rFonts w:ascii="仿宋_GB2312" w:hAnsi="仿宋_GB2312" w:eastAsia="仿宋_GB2312" w:cs="仿宋_GB2312"/>
          <w:sz w:val="32"/>
          <w:szCs w:val="32"/>
          <w:highlight w:val="none"/>
          <w:u w:val="none"/>
        </w:rPr>
      </w:pPr>
      <w:r>
        <w:rPr>
          <w:rFonts w:hint="default" w:ascii="Times New Roman" w:hAnsi="Times New Roman" w:eastAsia="仿宋_GB2312" w:cs="Times New Roman"/>
          <w:sz w:val="32"/>
          <w:szCs w:val="32"/>
          <w:highlight w:val="none"/>
          <w:u w:val="none"/>
          <w:lang w:val="en-US" w:eastAsia="zh-CN"/>
        </w:rPr>
        <w:t>4</w:t>
      </w:r>
      <w:r>
        <w:rPr>
          <w:rFonts w:hint="eastAsia" w:ascii="仿宋_GB2312" w:hAnsi="仿宋_GB2312" w:eastAsia="仿宋_GB2312" w:cs="仿宋_GB2312"/>
          <w:sz w:val="32"/>
          <w:szCs w:val="32"/>
          <w:highlight w:val="none"/>
          <w:u w:val="none"/>
        </w:rPr>
        <w:t>. 具有良好的分析决策能力、沟通协调能力和组织管理能力，具有较强的行业资源整合能力及</w:t>
      </w:r>
      <w:r>
        <w:rPr>
          <w:rFonts w:hint="eastAsia" w:ascii="仿宋_GB2312" w:hAnsi="仿宋_GB2312" w:eastAsia="仿宋_GB2312" w:cs="仿宋_GB2312"/>
          <w:sz w:val="32"/>
          <w:szCs w:val="32"/>
          <w:highlight w:val="none"/>
          <w:u w:val="none"/>
          <w:lang w:val="en-US" w:eastAsia="zh-CN"/>
        </w:rPr>
        <w:t>丰富的</w:t>
      </w:r>
      <w:r>
        <w:rPr>
          <w:rFonts w:hint="eastAsia" w:ascii="仿宋_GB2312" w:hAnsi="仿宋_GB2312" w:eastAsia="仿宋_GB2312" w:cs="仿宋_GB2312"/>
          <w:sz w:val="32"/>
          <w:szCs w:val="32"/>
          <w:highlight w:val="none"/>
          <w:u w:val="none"/>
        </w:rPr>
        <w:t>协调对接各相关政府部门的经验。</w:t>
      </w:r>
    </w:p>
    <w:p w14:paraId="2B5ECB63">
      <w:pPr>
        <w:pStyle w:val="13"/>
        <w:adjustRightInd w:val="0"/>
        <w:snapToGrid w:val="0"/>
        <w:spacing w:line="580" w:lineRule="exact"/>
        <w:ind w:firstLine="640"/>
        <w:rPr>
          <w:rFonts w:ascii="仿宋_GB2312" w:hAnsi="仿宋_GB2312" w:eastAsia="仿宋_GB2312" w:cs="仿宋_GB2312"/>
          <w:sz w:val="32"/>
          <w:szCs w:val="32"/>
          <w:highlight w:val="none"/>
          <w:u w:val="none"/>
        </w:rPr>
      </w:pPr>
      <w:r>
        <w:rPr>
          <w:rFonts w:hint="default" w:ascii="Times New Roman" w:hAnsi="Times New Roman" w:eastAsia="仿宋_GB2312" w:cs="Times New Roman"/>
          <w:sz w:val="32"/>
          <w:szCs w:val="32"/>
          <w:highlight w:val="none"/>
          <w:u w:val="none"/>
          <w:lang w:val="en-US" w:eastAsia="zh-CN"/>
        </w:rPr>
        <w:t>5</w:t>
      </w:r>
      <w:r>
        <w:rPr>
          <w:rFonts w:hint="eastAsia" w:ascii="仿宋_GB2312" w:hAnsi="仿宋_GB2312" w:eastAsia="仿宋_GB2312" w:cs="仿宋_GB2312"/>
          <w:sz w:val="32"/>
          <w:szCs w:val="32"/>
          <w:highlight w:val="none"/>
          <w:u w:val="none"/>
        </w:rPr>
        <w:t>. 具备设计、组建、管理经营团队的资源及能力，能够按照高校科技成果转化基金设立要求，设计运营管理团队组建方案，确定关键岗位人员配置，组建完整、精干专业的投资、风控等核心管理团队，提出适应的激励约束机制。</w:t>
      </w:r>
    </w:p>
    <w:p w14:paraId="58ADF4F4">
      <w:pPr>
        <w:pStyle w:val="13"/>
        <w:adjustRightInd w:val="0"/>
        <w:snapToGrid w:val="0"/>
        <w:spacing w:line="580" w:lineRule="exact"/>
        <w:ind w:firstLine="640"/>
        <w:rPr>
          <w:rFonts w:ascii="仿宋_GB2312" w:hAnsi="仿宋_GB2312" w:eastAsia="仿宋_GB2312" w:cs="仿宋_GB2312"/>
          <w:sz w:val="32"/>
          <w:szCs w:val="32"/>
          <w:highlight w:val="none"/>
          <w:u w:val="none"/>
        </w:rPr>
      </w:pPr>
      <w:r>
        <w:rPr>
          <w:rFonts w:hint="default" w:ascii="Times New Roman" w:hAnsi="Times New Roman" w:eastAsia="仿宋_GB2312" w:cs="Times New Roman"/>
          <w:sz w:val="32"/>
          <w:szCs w:val="32"/>
          <w:highlight w:val="none"/>
          <w:u w:val="none"/>
        </w:rPr>
        <w:t>6</w:t>
      </w:r>
      <w:r>
        <w:rPr>
          <w:rFonts w:hint="eastAsia" w:ascii="仿宋_GB2312" w:hAnsi="仿宋_GB2312" w:eastAsia="仿宋_GB2312" w:cs="仿宋_GB2312"/>
          <w:sz w:val="32"/>
          <w:szCs w:val="32"/>
          <w:highlight w:val="none"/>
          <w:u w:val="none"/>
        </w:rPr>
        <w:t>. 在完成基金最终确认</w:t>
      </w:r>
      <w:r>
        <w:rPr>
          <w:rFonts w:hint="eastAsia" w:ascii="仿宋_GB2312" w:hAnsi="仿宋_GB2312" w:eastAsia="仿宋_GB2312" w:cs="仿宋_GB2312"/>
          <w:snapToGrid w:val="0"/>
          <w:kern w:val="0"/>
          <w:sz w:val="32"/>
          <w:szCs w:val="32"/>
          <w:highlight w:val="none"/>
          <w:u w:val="none"/>
          <w:lang w:val="en-US" w:eastAsia="zh-CN"/>
        </w:rPr>
        <w:t>全部</w:t>
      </w:r>
      <w:r>
        <w:rPr>
          <w:rFonts w:hint="eastAsia" w:ascii="仿宋_GB2312" w:hAnsi="仿宋_GB2312" w:eastAsia="仿宋_GB2312" w:cs="仿宋_GB2312"/>
          <w:snapToGrid w:val="0"/>
          <w:kern w:val="0"/>
          <w:sz w:val="32"/>
          <w:szCs w:val="32"/>
          <w:highlight w:val="none"/>
          <w:u w:val="none"/>
        </w:rPr>
        <w:t>首期</w:t>
      </w:r>
      <w:r>
        <w:rPr>
          <w:rFonts w:hint="eastAsia" w:ascii="仿宋_GB2312" w:hAnsi="仿宋_GB2312" w:eastAsia="仿宋_GB2312" w:cs="仿宋_GB2312"/>
          <w:snapToGrid w:val="0"/>
          <w:kern w:val="0"/>
          <w:sz w:val="32"/>
          <w:szCs w:val="32"/>
          <w:highlight w:val="none"/>
          <w:u w:val="none"/>
          <w:lang w:val="en-US" w:eastAsia="zh-CN"/>
        </w:rPr>
        <w:t>实缴</w:t>
      </w:r>
      <w:r>
        <w:rPr>
          <w:rFonts w:hint="eastAsia" w:ascii="仿宋_GB2312" w:hAnsi="仿宋_GB2312" w:eastAsia="仿宋_GB2312" w:cs="仿宋_GB2312"/>
          <w:sz w:val="32"/>
          <w:szCs w:val="32"/>
          <w:highlight w:val="none"/>
          <w:u w:val="none"/>
        </w:rPr>
        <w:t>规模</w:t>
      </w:r>
      <w:r>
        <w:rPr>
          <w:rFonts w:hint="default" w:ascii="Times New Roman" w:hAnsi="Times New Roman" w:eastAsia="仿宋_GB2312" w:cs="Times New Roman"/>
          <w:sz w:val="32"/>
          <w:szCs w:val="32"/>
          <w:highlight w:val="none"/>
          <w:u w:val="none"/>
        </w:rPr>
        <w:t>70</w:t>
      </w:r>
      <w:r>
        <w:rPr>
          <w:rFonts w:hint="eastAsia" w:ascii="仿宋_GB2312" w:hAnsi="仿宋_GB2312" w:eastAsia="仿宋_GB2312" w:cs="仿宋_GB2312"/>
          <w:sz w:val="32"/>
          <w:szCs w:val="32"/>
          <w:highlight w:val="none"/>
          <w:u w:val="none"/>
        </w:rPr>
        <w:t>％的资金投资之前，需保证专职负责本基金管理工作，不能在其他基金管理机构兼职或参与其他基金的管理。</w:t>
      </w:r>
    </w:p>
    <w:p w14:paraId="33377A4F">
      <w:pPr>
        <w:pStyle w:val="13"/>
        <w:adjustRightInd w:val="0"/>
        <w:snapToGrid w:val="0"/>
        <w:spacing w:line="580" w:lineRule="exact"/>
        <w:ind w:firstLine="640"/>
        <w:rPr>
          <w:rFonts w:ascii="楷体_GB2312" w:hAnsi="楷体_GB2312" w:eastAsia="楷体_GB2312" w:cs="楷体_GB2312"/>
          <w:sz w:val="32"/>
          <w:szCs w:val="32"/>
          <w:highlight w:val="none"/>
          <w:u w:val="none"/>
        </w:rPr>
      </w:pPr>
      <w:r>
        <w:rPr>
          <w:rFonts w:hint="eastAsia" w:ascii="楷体_GB2312" w:hAnsi="楷体_GB2312" w:eastAsia="楷体_GB2312" w:cs="楷体_GB2312"/>
          <w:sz w:val="32"/>
          <w:szCs w:val="32"/>
          <w:highlight w:val="none"/>
          <w:u w:val="none"/>
        </w:rPr>
        <w:t>（六）投资管理能力</w:t>
      </w:r>
    </w:p>
    <w:p w14:paraId="771676C2">
      <w:pPr>
        <w:pStyle w:val="13"/>
        <w:tabs>
          <w:tab w:val="left" w:pos="7770"/>
        </w:tabs>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基金管理机构和配备的管理团队具有丰富的母基金管理和项目直接投资经验，成功投资过多个与科技成果转化、科技创新领域相关的子基金及项目，对于早期科创类项目投资和项目孵化赋能具有丰富的经验和成功案例。对国家及四川省科技成果转化及科技产业发展政策具有较深刻的理解和把握，对管理本基金具有良好的运作理念与思路。能与基金理事会、出资人建立有效的沟通和协调机制。</w:t>
      </w:r>
    </w:p>
    <w:p w14:paraId="2C16F4F2">
      <w:pPr>
        <w:pStyle w:val="13"/>
        <w:adjustRightInd w:val="0"/>
        <w:snapToGrid w:val="0"/>
        <w:spacing w:line="580" w:lineRule="exact"/>
        <w:ind w:firstLine="640"/>
        <w:rPr>
          <w:rFonts w:ascii="楷体_GB2312" w:hAnsi="楷体_GB2312" w:eastAsia="楷体_GB2312" w:cs="楷体_GB2312"/>
          <w:sz w:val="32"/>
          <w:szCs w:val="32"/>
          <w:highlight w:val="none"/>
          <w:u w:val="none"/>
        </w:rPr>
      </w:pPr>
      <w:r>
        <w:rPr>
          <w:rFonts w:hint="eastAsia" w:ascii="楷体_GB2312" w:hAnsi="楷体_GB2312" w:eastAsia="楷体_GB2312" w:cs="楷体_GB2312"/>
          <w:sz w:val="32"/>
          <w:szCs w:val="32"/>
          <w:highlight w:val="none"/>
          <w:u w:val="none"/>
        </w:rPr>
        <w:t>（七）创新投资能力</w:t>
      </w:r>
    </w:p>
    <w:p w14:paraId="34D8B2BC">
      <w:pPr>
        <w:pStyle w:val="13"/>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基金管理机构和配备的管理团队应具有“投早、投小、投科技创新”的早期孵化型企业投资能力，要求团队或关键人士管理的股权投资基金中有科创类早期成功投资案例。“科创类早期”要求投资时项目投前估值不高于</w:t>
      </w:r>
      <w:r>
        <w:rPr>
          <w:rFonts w:hint="default" w:ascii="Times New Roman" w:hAnsi="Times New Roman" w:eastAsia="仿宋_GB2312" w:cs="Times New Roman"/>
          <w:sz w:val="32"/>
          <w:szCs w:val="32"/>
          <w:highlight w:val="none"/>
          <w:u w:val="none"/>
        </w:rPr>
        <w:t>3</w:t>
      </w:r>
      <w:r>
        <w:rPr>
          <w:rFonts w:hint="eastAsia" w:ascii="仿宋_GB2312" w:hAnsi="仿宋_GB2312" w:eastAsia="仿宋_GB2312" w:cs="仿宋_GB2312"/>
          <w:sz w:val="32"/>
          <w:szCs w:val="32"/>
          <w:highlight w:val="none"/>
          <w:u w:val="none"/>
        </w:rPr>
        <w:t>亿元，或公司处于第一轮或第二轮融资；“成功投资”指所投资的科创类早期项目目前估值已增长</w:t>
      </w:r>
      <w:r>
        <w:rPr>
          <w:rFonts w:hint="default" w:ascii="Times New Roman" w:hAnsi="Times New Roman" w:eastAsia="仿宋_GB2312" w:cs="Times New Roman"/>
          <w:sz w:val="32"/>
          <w:szCs w:val="32"/>
          <w:highlight w:val="none"/>
          <w:u w:val="none"/>
        </w:rPr>
        <w:t>10</w:t>
      </w:r>
      <w:r>
        <w:rPr>
          <w:rFonts w:hint="eastAsia" w:ascii="仿宋_GB2312" w:hAnsi="仿宋_GB2312" w:eastAsia="仿宋_GB2312" w:cs="仿宋_GB2312"/>
          <w:sz w:val="32"/>
          <w:szCs w:val="32"/>
          <w:highlight w:val="none"/>
          <w:u w:val="none"/>
        </w:rPr>
        <w:t>倍</w:t>
      </w:r>
      <w:r>
        <w:rPr>
          <w:rFonts w:hint="eastAsia" w:ascii="仿宋_GB2312" w:hAnsi="仿宋_GB2312" w:eastAsia="仿宋_GB2312" w:cs="仿宋_GB2312"/>
          <w:sz w:val="32"/>
          <w:szCs w:val="32"/>
          <w:highlight w:val="none"/>
          <w:u w:val="none"/>
          <w:lang w:val="en-US" w:eastAsia="zh-CN"/>
        </w:rPr>
        <w:t>以上</w:t>
      </w:r>
      <w:r>
        <w:rPr>
          <w:rFonts w:hint="eastAsia" w:ascii="仿宋_GB2312" w:hAnsi="仿宋_GB2312" w:eastAsia="仿宋_GB2312" w:cs="仿宋_GB2312"/>
          <w:sz w:val="32"/>
          <w:szCs w:val="32"/>
          <w:highlight w:val="none"/>
          <w:u w:val="none"/>
        </w:rPr>
        <w:t>，或已完成收益</w:t>
      </w:r>
      <w:r>
        <w:rPr>
          <w:rFonts w:hint="default" w:ascii="Times New Roman" w:hAnsi="Times New Roman" w:eastAsia="仿宋_GB2312" w:cs="Times New Roman"/>
          <w:sz w:val="32"/>
          <w:szCs w:val="32"/>
          <w:highlight w:val="none"/>
          <w:u w:val="none"/>
        </w:rPr>
        <w:t>10</w:t>
      </w:r>
      <w:r>
        <w:rPr>
          <w:rFonts w:hint="eastAsia" w:ascii="仿宋_GB2312" w:hAnsi="仿宋_GB2312" w:eastAsia="仿宋_GB2312" w:cs="仿宋_GB2312"/>
          <w:sz w:val="32"/>
          <w:szCs w:val="32"/>
          <w:highlight w:val="none"/>
          <w:u w:val="none"/>
        </w:rPr>
        <w:t>倍以上成功退出。</w:t>
      </w:r>
    </w:p>
    <w:p w14:paraId="1A939843">
      <w:pPr>
        <w:pStyle w:val="13"/>
        <w:adjustRightInd w:val="0"/>
        <w:snapToGrid w:val="0"/>
        <w:spacing w:line="580" w:lineRule="exact"/>
        <w:ind w:firstLine="640"/>
        <w:rPr>
          <w:rFonts w:ascii="楷体_GB2312" w:hAnsi="楷体_GB2312" w:eastAsia="楷体_GB2312" w:cs="楷体_GB2312"/>
          <w:sz w:val="32"/>
          <w:szCs w:val="32"/>
          <w:highlight w:val="none"/>
          <w:u w:val="none"/>
        </w:rPr>
      </w:pPr>
      <w:r>
        <w:rPr>
          <w:rFonts w:hint="eastAsia" w:ascii="楷体_GB2312" w:hAnsi="楷体_GB2312" w:eastAsia="楷体_GB2312" w:cs="楷体_GB2312"/>
          <w:sz w:val="32"/>
          <w:szCs w:val="32"/>
          <w:highlight w:val="none"/>
          <w:u w:val="none"/>
        </w:rPr>
        <w:t>（八）投资服务能力</w:t>
      </w:r>
    </w:p>
    <w:p w14:paraId="4335DA30">
      <w:pPr>
        <w:pStyle w:val="13"/>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基金管理机构和配备的管理团队具备较强的综合服务能力，有能力提供优质的创业投资、股权投资、资产管理和产业整合等综合服务</w:t>
      </w:r>
      <w:r>
        <w:rPr>
          <w:rFonts w:hint="eastAsia" w:ascii="仿宋_GB2312" w:hAnsi="仿宋_GB2312" w:eastAsia="仿宋_GB2312" w:cs="仿宋_GB2312"/>
          <w:snapToGrid w:val="0"/>
          <w:kern w:val="0"/>
          <w:sz w:val="32"/>
          <w:szCs w:val="32"/>
          <w:highlight w:val="none"/>
          <w:u w:val="none"/>
        </w:rPr>
        <w:t>。对高校，尤其是清华大学科技成果转化投资运作模式，对四川省地方政策、产业发展情况有深刻理解和把握。</w:t>
      </w:r>
      <w:r>
        <w:rPr>
          <w:rFonts w:hint="eastAsia" w:ascii="仿宋_GB2312" w:hAnsi="仿宋_GB2312" w:eastAsia="仿宋_GB2312" w:cs="仿宋_GB2312"/>
          <w:sz w:val="32"/>
          <w:szCs w:val="32"/>
          <w:highlight w:val="none"/>
          <w:u w:val="none"/>
        </w:rPr>
        <w:t>具备基金重点投资产业的项目遴选能力，能结合当地的产业发展及自身的资源优势为基金和被投企业提供相应的资源和服务。</w:t>
      </w:r>
    </w:p>
    <w:p w14:paraId="6260288E">
      <w:pPr>
        <w:pStyle w:val="13"/>
        <w:adjustRightInd w:val="0"/>
        <w:snapToGrid w:val="0"/>
        <w:spacing w:line="580" w:lineRule="exact"/>
        <w:ind w:firstLine="640"/>
        <w:rPr>
          <w:rFonts w:ascii="楷体_GB2312" w:hAnsi="楷体_GB2312" w:eastAsia="楷体_GB2312" w:cs="楷体_GB2312"/>
          <w:sz w:val="32"/>
          <w:szCs w:val="32"/>
          <w:highlight w:val="none"/>
          <w:u w:val="none"/>
        </w:rPr>
      </w:pPr>
      <w:r>
        <w:rPr>
          <w:rFonts w:hint="eastAsia" w:ascii="楷体_GB2312" w:hAnsi="楷体_GB2312" w:eastAsia="楷体_GB2312" w:cs="楷体_GB2312"/>
          <w:sz w:val="32"/>
          <w:szCs w:val="32"/>
          <w:highlight w:val="none"/>
          <w:u w:val="none"/>
        </w:rPr>
        <w:t>（九）出资、募资能力</w:t>
      </w:r>
    </w:p>
    <w:p w14:paraId="50CFC2CE">
      <w:pPr>
        <w:pStyle w:val="13"/>
        <w:adjustRightInd w:val="0"/>
        <w:snapToGrid w:val="0"/>
        <w:spacing w:line="580" w:lineRule="exact"/>
        <w:ind w:firstLine="640"/>
        <w:rPr>
          <w:rFonts w:hint="eastAsia" w:ascii="仿宋_GB2312" w:hAnsi="仿宋_GB2312" w:eastAsia="仿宋_GB2312" w:cs="仿宋_GB2312"/>
          <w:snapToGrid w:val="0"/>
          <w:kern w:val="0"/>
          <w:sz w:val="32"/>
          <w:szCs w:val="32"/>
          <w:highlight w:val="none"/>
          <w:u w:val="none"/>
        </w:rPr>
      </w:pPr>
      <w:r>
        <w:rPr>
          <w:rFonts w:hint="eastAsia" w:ascii="仿宋_GB2312" w:hAnsi="仿宋_GB2312" w:eastAsia="仿宋_GB2312" w:cs="仿宋_GB2312"/>
          <w:sz w:val="32"/>
          <w:szCs w:val="32"/>
          <w:highlight w:val="none"/>
          <w:u w:val="none"/>
        </w:rPr>
        <w:t>基金管理机构在基金中的出资比例不低于基金募集规模的</w:t>
      </w:r>
      <w:r>
        <w:rPr>
          <w:rFonts w:hint="default" w:ascii="Times New Roman" w:hAnsi="Times New Roman" w:eastAsia="仿宋_GB2312" w:cs="Times New Roman"/>
          <w:sz w:val="32"/>
          <w:szCs w:val="32"/>
          <w:highlight w:val="none"/>
          <w:u w:val="none"/>
        </w:rPr>
        <w:t>1</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napToGrid w:val="0"/>
          <w:kern w:val="0"/>
          <w:sz w:val="32"/>
          <w:szCs w:val="32"/>
          <w:highlight w:val="none"/>
          <w:u w:val="none"/>
        </w:rPr>
        <w:t>同时管理机构募资能力也将作为评审方向之一。</w:t>
      </w:r>
    </w:p>
    <w:p w14:paraId="3AD37A1A">
      <w:pPr>
        <w:pStyle w:val="13"/>
        <w:adjustRightInd w:val="0"/>
        <w:snapToGrid w:val="0"/>
        <w:spacing w:line="580" w:lineRule="exact"/>
        <w:ind w:firstLine="640"/>
        <w:rPr>
          <w:rFonts w:hint="eastAsia" w:ascii="楷体_GB2312" w:hAnsi="楷体_GB2312" w:eastAsia="楷体_GB2312" w:cs="楷体_GB2312"/>
          <w:snapToGrid/>
          <w:kern w:val="2"/>
          <w:sz w:val="32"/>
          <w:szCs w:val="32"/>
          <w:highlight w:val="none"/>
          <w:u w:val="none"/>
          <w:lang w:val="en-US" w:eastAsia="zh-CN"/>
        </w:rPr>
      </w:pPr>
      <w:r>
        <w:rPr>
          <w:rFonts w:hint="eastAsia" w:ascii="楷体_GB2312" w:hAnsi="楷体_GB2312" w:eastAsia="楷体_GB2312" w:cs="楷体_GB2312"/>
          <w:snapToGrid/>
          <w:kern w:val="2"/>
          <w:sz w:val="32"/>
          <w:szCs w:val="32"/>
          <w:highlight w:val="none"/>
          <w:u w:val="none"/>
          <w:lang w:eastAsia="zh-CN"/>
        </w:rPr>
        <w:t>（</w:t>
      </w:r>
      <w:r>
        <w:rPr>
          <w:rFonts w:hint="eastAsia" w:ascii="楷体_GB2312" w:hAnsi="楷体_GB2312" w:eastAsia="楷体_GB2312" w:cs="楷体_GB2312"/>
          <w:snapToGrid/>
          <w:kern w:val="2"/>
          <w:sz w:val="32"/>
          <w:szCs w:val="32"/>
          <w:highlight w:val="none"/>
          <w:u w:val="none"/>
          <w:lang w:val="en-US" w:eastAsia="zh-CN"/>
        </w:rPr>
        <w:t>十</w:t>
      </w:r>
      <w:r>
        <w:rPr>
          <w:rFonts w:hint="eastAsia" w:ascii="楷体_GB2312" w:hAnsi="楷体_GB2312" w:eastAsia="楷体_GB2312" w:cs="楷体_GB2312"/>
          <w:snapToGrid/>
          <w:kern w:val="2"/>
          <w:sz w:val="32"/>
          <w:szCs w:val="32"/>
          <w:highlight w:val="none"/>
          <w:u w:val="none"/>
          <w:lang w:eastAsia="zh-CN"/>
        </w:rPr>
        <w:t>）</w:t>
      </w:r>
      <w:r>
        <w:rPr>
          <w:rFonts w:hint="eastAsia" w:ascii="楷体_GB2312" w:hAnsi="楷体_GB2312" w:eastAsia="楷体_GB2312" w:cs="楷体_GB2312"/>
          <w:snapToGrid/>
          <w:kern w:val="2"/>
          <w:sz w:val="32"/>
          <w:szCs w:val="32"/>
          <w:highlight w:val="none"/>
          <w:u w:val="none"/>
          <w:lang w:val="en-US" w:eastAsia="zh-CN"/>
        </w:rPr>
        <w:t>接受监督及考核</w:t>
      </w:r>
    </w:p>
    <w:p w14:paraId="7C77BA46">
      <w:pPr>
        <w:pStyle w:val="13"/>
        <w:adjustRightInd/>
        <w:snapToGrid/>
        <w:spacing w:line="580" w:lineRule="exact"/>
        <w:ind w:firstLine="640" w:firstLineChars="200"/>
        <w:rPr>
          <w:rFonts w:hint="eastAsia" w:ascii="仿宋_GB2312" w:hAnsi="仿宋_GB2312" w:eastAsia="仿宋_GB2312" w:cs="仿宋_GB2312"/>
          <w:snapToGrid w:val="0"/>
          <w:kern w:val="0"/>
          <w:sz w:val="32"/>
          <w:szCs w:val="32"/>
          <w:highlight w:val="none"/>
          <w:u w:val="none"/>
          <w:lang w:eastAsia="zh-CN"/>
        </w:rPr>
      </w:pPr>
      <w:r>
        <w:rPr>
          <w:rFonts w:hint="eastAsia" w:ascii="仿宋_GB2312" w:hAnsi="仿宋_GB2312" w:eastAsia="仿宋_GB2312" w:cs="仿宋_GB2312"/>
          <w:snapToGrid w:val="0"/>
          <w:kern w:val="0"/>
          <w:sz w:val="32"/>
          <w:szCs w:val="32"/>
          <w:highlight w:val="none"/>
          <w:u w:val="none"/>
          <w:lang w:val="en-US" w:eastAsia="zh-CN"/>
        </w:rPr>
        <w:t>管理机构需</w:t>
      </w:r>
      <w:r>
        <w:rPr>
          <w:rFonts w:hint="eastAsia" w:ascii="仿宋_GB2312" w:hAnsi="仿宋_GB2312" w:eastAsia="仿宋_GB2312" w:cs="仿宋_GB2312"/>
          <w:snapToGrid w:val="0"/>
          <w:kern w:val="0"/>
          <w:sz w:val="32"/>
          <w:szCs w:val="32"/>
          <w:highlight w:val="none"/>
          <w:u w:val="none"/>
        </w:rPr>
        <w:t>明确接受基金管理委员会</w:t>
      </w:r>
      <w:r>
        <w:rPr>
          <w:rFonts w:hint="eastAsia" w:ascii="仿宋_GB2312" w:hAnsi="仿宋_GB2312" w:eastAsia="仿宋_GB2312" w:cs="仿宋_GB2312"/>
          <w:snapToGrid w:val="0"/>
          <w:kern w:val="0"/>
          <w:sz w:val="32"/>
          <w:szCs w:val="32"/>
          <w:highlight w:val="none"/>
          <w:u w:val="none"/>
          <w:lang w:val="en-US" w:eastAsia="zh-CN"/>
        </w:rPr>
        <w:t>制定相应的</w:t>
      </w:r>
      <w:r>
        <w:rPr>
          <w:rFonts w:hint="eastAsia" w:ascii="仿宋_GB2312" w:hAnsi="仿宋_GB2312" w:eastAsia="仿宋_GB2312" w:cs="仿宋_GB2312"/>
          <w:snapToGrid w:val="0"/>
          <w:kern w:val="0"/>
          <w:sz w:val="32"/>
          <w:szCs w:val="32"/>
          <w:highlight w:val="none"/>
          <w:u w:val="none"/>
        </w:rPr>
        <w:t>监督与绩效考核管理</w:t>
      </w:r>
      <w:r>
        <w:rPr>
          <w:rFonts w:hint="eastAsia" w:ascii="仿宋_GB2312" w:hAnsi="仿宋_GB2312" w:eastAsia="仿宋_GB2312" w:cs="仿宋_GB2312"/>
          <w:snapToGrid w:val="0"/>
          <w:kern w:val="0"/>
          <w:sz w:val="32"/>
          <w:szCs w:val="32"/>
          <w:highlight w:val="none"/>
          <w:u w:val="none"/>
          <w:lang w:val="en-US" w:eastAsia="zh-CN"/>
        </w:rPr>
        <w:t>制度</w:t>
      </w:r>
      <w:r>
        <w:rPr>
          <w:rFonts w:hint="eastAsia" w:ascii="仿宋_GB2312" w:hAnsi="仿宋_GB2312" w:eastAsia="仿宋_GB2312" w:cs="仿宋_GB2312"/>
          <w:snapToGrid w:val="0"/>
          <w:kern w:val="0"/>
          <w:sz w:val="32"/>
          <w:szCs w:val="32"/>
          <w:highlight w:val="none"/>
          <w:u w:val="none"/>
          <w:lang w:eastAsia="zh-CN"/>
        </w:rPr>
        <w:t>，</w:t>
      </w:r>
      <w:r>
        <w:rPr>
          <w:rFonts w:hint="eastAsia" w:ascii="仿宋_GB2312" w:hAnsi="仿宋_GB2312" w:eastAsia="仿宋_GB2312" w:cs="仿宋_GB2312"/>
          <w:snapToGrid w:val="0"/>
          <w:kern w:val="0"/>
          <w:sz w:val="32"/>
          <w:szCs w:val="32"/>
          <w:highlight w:val="none"/>
          <w:u w:val="none"/>
          <w:lang w:val="en-US" w:eastAsia="zh-CN"/>
        </w:rPr>
        <w:t>对基金管理机构的日常运作进行监督和考核，</w:t>
      </w:r>
      <w:r>
        <w:rPr>
          <w:rFonts w:hint="eastAsia" w:ascii="仿宋_GB2312" w:hAnsi="仿宋_GB2312" w:eastAsia="仿宋_GB2312" w:cs="仿宋_GB2312"/>
          <w:snapToGrid w:val="0"/>
          <w:kern w:val="0"/>
          <w:sz w:val="32"/>
          <w:szCs w:val="32"/>
          <w:highlight w:val="none"/>
          <w:u w:val="none"/>
        </w:rPr>
        <w:t>基金管理费与年度绩效考核结果挂钩</w:t>
      </w:r>
      <w:r>
        <w:rPr>
          <w:rFonts w:hint="eastAsia" w:ascii="仿宋_GB2312" w:hAnsi="仿宋_GB2312" w:eastAsia="仿宋_GB2312" w:cs="仿宋_GB2312"/>
          <w:snapToGrid w:val="0"/>
          <w:kern w:val="0"/>
          <w:sz w:val="32"/>
          <w:szCs w:val="32"/>
          <w:highlight w:val="none"/>
          <w:u w:val="none"/>
          <w:lang w:eastAsia="zh-CN"/>
        </w:rPr>
        <w:t>。</w:t>
      </w:r>
    </w:p>
    <w:p w14:paraId="7467D503">
      <w:pPr>
        <w:pStyle w:val="13"/>
        <w:adjustRightInd/>
        <w:snapToGrid/>
        <w:spacing w:line="580" w:lineRule="exact"/>
        <w:ind w:firstLine="640" w:firstLineChars="200"/>
        <w:rPr>
          <w:rFonts w:hint="eastAsia" w:ascii="仿宋_GB2312" w:hAnsi="仿宋_GB2312" w:eastAsia="仿宋_GB2312" w:cs="仿宋_GB2312"/>
          <w:snapToGrid w:val="0"/>
          <w:kern w:val="0"/>
          <w:sz w:val="32"/>
          <w:szCs w:val="32"/>
          <w:highlight w:val="none"/>
          <w:u w:val="none"/>
          <w:lang w:eastAsia="zh-CN"/>
        </w:rPr>
      </w:pPr>
      <w:r>
        <w:rPr>
          <w:rFonts w:hint="eastAsia" w:ascii="仿宋_GB2312" w:hAnsi="仿宋_GB2312" w:eastAsia="仿宋_GB2312" w:cs="仿宋_GB2312"/>
          <w:snapToGrid w:val="0"/>
          <w:kern w:val="0"/>
          <w:sz w:val="32"/>
          <w:szCs w:val="32"/>
          <w:highlight w:val="none"/>
          <w:u w:val="none"/>
          <w:lang w:val="en-US" w:eastAsia="zh-CN"/>
        </w:rPr>
        <w:t>考核内容主要针对</w:t>
      </w:r>
      <w:r>
        <w:rPr>
          <w:rFonts w:hint="eastAsia" w:ascii="仿宋_GB2312" w:hAnsi="仿宋_GB2312" w:eastAsia="仿宋_GB2312" w:cs="仿宋_GB2312"/>
          <w:snapToGrid w:val="0"/>
          <w:kern w:val="0"/>
          <w:sz w:val="32"/>
          <w:szCs w:val="32"/>
          <w:highlight w:val="none"/>
          <w:u w:val="none"/>
        </w:rPr>
        <w:t>基金投资与引导带动作用</w:t>
      </w:r>
      <w:r>
        <w:rPr>
          <w:rFonts w:hint="eastAsia" w:ascii="仿宋_GB2312" w:hAnsi="仿宋_GB2312" w:eastAsia="仿宋_GB2312" w:cs="仿宋_GB2312"/>
          <w:snapToGrid w:val="0"/>
          <w:kern w:val="0"/>
          <w:sz w:val="32"/>
          <w:szCs w:val="32"/>
          <w:highlight w:val="none"/>
          <w:u w:val="none"/>
          <w:lang w:eastAsia="zh-CN"/>
        </w:rPr>
        <w:t>（</w:t>
      </w:r>
      <w:r>
        <w:rPr>
          <w:rFonts w:hint="eastAsia" w:ascii="仿宋_GB2312" w:hAnsi="仿宋_GB2312" w:eastAsia="仿宋_GB2312" w:cs="仿宋_GB2312"/>
          <w:snapToGrid w:val="0"/>
          <w:kern w:val="0"/>
          <w:sz w:val="32"/>
          <w:szCs w:val="32"/>
          <w:highlight w:val="none"/>
          <w:u w:val="none"/>
          <w:lang w:val="en-US" w:eastAsia="zh-CN"/>
        </w:rPr>
        <w:t>主要</w:t>
      </w:r>
      <w:r>
        <w:rPr>
          <w:rFonts w:hint="eastAsia" w:ascii="仿宋_GB2312" w:hAnsi="仿宋_GB2312" w:eastAsia="仿宋_GB2312" w:cs="仿宋_GB2312"/>
          <w:snapToGrid w:val="0"/>
          <w:kern w:val="0"/>
          <w:sz w:val="32"/>
          <w:szCs w:val="32"/>
          <w:highlight w:val="none"/>
          <w:u w:val="none"/>
        </w:rPr>
        <w:t>包括投资效果、引导带动作用</w:t>
      </w:r>
      <w:r>
        <w:rPr>
          <w:rFonts w:hint="eastAsia" w:ascii="仿宋_GB2312" w:hAnsi="仿宋_GB2312" w:eastAsia="仿宋_GB2312" w:cs="仿宋_GB2312"/>
          <w:snapToGrid w:val="0"/>
          <w:kern w:val="0"/>
          <w:sz w:val="32"/>
          <w:szCs w:val="32"/>
          <w:highlight w:val="none"/>
          <w:u w:val="none"/>
          <w:lang w:eastAsia="zh-CN"/>
        </w:rPr>
        <w:t>），</w:t>
      </w:r>
      <w:r>
        <w:rPr>
          <w:rFonts w:hint="eastAsia" w:ascii="仿宋_GB2312" w:hAnsi="仿宋_GB2312" w:eastAsia="仿宋_GB2312" w:cs="仿宋_GB2312"/>
          <w:snapToGrid w:val="0"/>
          <w:kern w:val="0"/>
          <w:sz w:val="32"/>
          <w:szCs w:val="32"/>
          <w:highlight w:val="none"/>
          <w:u w:val="none"/>
        </w:rPr>
        <w:t>市场化直投项目投资</w:t>
      </w:r>
      <w:r>
        <w:rPr>
          <w:rFonts w:hint="eastAsia" w:ascii="仿宋_GB2312" w:hAnsi="仿宋_GB2312" w:eastAsia="仿宋_GB2312" w:cs="仿宋_GB2312"/>
          <w:snapToGrid w:val="0"/>
          <w:kern w:val="0"/>
          <w:sz w:val="32"/>
          <w:szCs w:val="32"/>
          <w:highlight w:val="none"/>
          <w:u w:val="none"/>
          <w:lang w:eastAsia="zh-CN"/>
        </w:rPr>
        <w:t>（</w:t>
      </w:r>
      <w:r>
        <w:rPr>
          <w:rFonts w:hint="eastAsia" w:ascii="仿宋_GB2312" w:hAnsi="仿宋_GB2312" w:eastAsia="仿宋_GB2312" w:cs="仿宋_GB2312"/>
          <w:snapToGrid w:val="0"/>
          <w:kern w:val="0"/>
          <w:sz w:val="32"/>
          <w:szCs w:val="32"/>
          <w:highlight w:val="none"/>
          <w:u w:val="none"/>
          <w:lang w:val="en-US" w:eastAsia="zh-CN"/>
        </w:rPr>
        <w:t>主要</w:t>
      </w:r>
      <w:r>
        <w:rPr>
          <w:rFonts w:hint="eastAsia" w:ascii="仿宋_GB2312" w:hAnsi="仿宋_GB2312" w:eastAsia="仿宋_GB2312" w:cs="仿宋_GB2312"/>
          <w:snapToGrid w:val="0"/>
          <w:kern w:val="0"/>
          <w:sz w:val="32"/>
          <w:szCs w:val="32"/>
          <w:highlight w:val="none"/>
          <w:u w:val="none"/>
        </w:rPr>
        <w:t>包括</w:t>
      </w:r>
      <w:r>
        <w:rPr>
          <w:rFonts w:hint="eastAsia" w:ascii="FangSong_GB2312" w:hAnsi="FangSong_GB2312" w:eastAsia="FangSong_GB2312"/>
          <w:sz w:val="32"/>
          <w:szCs w:val="24"/>
          <w:highlight w:val="none"/>
          <w:u w:val="none"/>
        </w:rPr>
        <w:t>市场化直投项目投资效果、合法运营情况及引导带动作用</w:t>
      </w:r>
      <w:r>
        <w:rPr>
          <w:rFonts w:hint="eastAsia" w:ascii="仿宋_GB2312" w:hAnsi="仿宋_GB2312" w:eastAsia="仿宋_GB2312" w:cs="仿宋_GB2312"/>
          <w:snapToGrid w:val="0"/>
          <w:kern w:val="0"/>
          <w:sz w:val="32"/>
          <w:szCs w:val="32"/>
          <w:highlight w:val="none"/>
          <w:u w:val="none"/>
          <w:lang w:eastAsia="zh-CN"/>
        </w:rPr>
        <w:t>），</w:t>
      </w:r>
      <w:r>
        <w:rPr>
          <w:rFonts w:hint="eastAsia" w:ascii="仿宋_GB2312" w:hAnsi="仿宋_GB2312" w:eastAsia="仿宋_GB2312" w:cs="仿宋_GB2312"/>
          <w:snapToGrid w:val="0"/>
          <w:kern w:val="0"/>
          <w:sz w:val="32"/>
          <w:szCs w:val="32"/>
          <w:highlight w:val="none"/>
          <w:u w:val="none"/>
        </w:rPr>
        <w:t>市场化子基金投资</w:t>
      </w:r>
      <w:r>
        <w:rPr>
          <w:rFonts w:hint="eastAsia" w:ascii="仿宋_GB2312" w:hAnsi="仿宋_GB2312" w:eastAsia="仿宋_GB2312" w:cs="仿宋_GB2312"/>
          <w:snapToGrid w:val="0"/>
          <w:kern w:val="0"/>
          <w:sz w:val="32"/>
          <w:szCs w:val="32"/>
          <w:highlight w:val="none"/>
          <w:u w:val="none"/>
          <w:lang w:eastAsia="zh-CN"/>
        </w:rPr>
        <w:t>（</w:t>
      </w:r>
      <w:r>
        <w:rPr>
          <w:rFonts w:hint="eastAsia" w:ascii="仿宋_GB2312" w:hAnsi="仿宋_GB2312" w:eastAsia="仿宋_GB2312" w:cs="仿宋_GB2312"/>
          <w:snapToGrid w:val="0"/>
          <w:kern w:val="0"/>
          <w:sz w:val="32"/>
          <w:szCs w:val="32"/>
          <w:highlight w:val="none"/>
          <w:u w:val="none"/>
          <w:lang w:val="en-US" w:eastAsia="zh-CN"/>
        </w:rPr>
        <w:t>主要</w:t>
      </w:r>
      <w:r>
        <w:rPr>
          <w:rFonts w:hint="eastAsia" w:ascii="仿宋_GB2312" w:hAnsi="仿宋_GB2312" w:eastAsia="仿宋_GB2312" w:cs="仿宋_GB2312"/>
          <w:snapToGrid w:val="0"/>
          <w:kern w:val="0"/>
          <w:sz w:val="32"/>
          <w:szCs w:val="32"/>
          <w:highlight w:val="none"/>
          <w:u w:val="none"/>
        </w:rPr>
        <w:t>包括</w:t>
      </w:r>
      <w:r>
        <w:rPr>
          <w:rFonts w:hint="eastAsia" w:ascii="FangSong_GB2312" w:hAnsi="FangSong_GB2312" w:eastAsia="FangSong_GB2312"/>
          <w:sz w:val="32"/>
          <w:szCs w:val="24"/>
          <w:highlight w:val="none"/>
          <w:u w:val="none"/>
        </w:rPr>
        <w:t>市场化子基金投资效率、合规运营情况及引导带动作用</w:t>
      </w:r>
      <w:r>
        <w:rPr>
          <w:rFonts w:hint="eastAsia" w:ascii="仿宋_GB2312" w:hAnsi="仿宋_GB2312" w:eastAsia="仿宋_GB2312" w:cs="仿宋_GB2312"/>
          <w:snapToGrid w:val="0"/>
          <w:kern w:val="0"/>
          <w:sz w:val="32"/>
          <w:szCs w:val="32"/>
          <w:highlight w:val="none"/>
          <w:u w:val="none"/>
          <w:lang w:eastAsia="zh-CN"/>
        </w:rPr>
        <w:t>），</w:t>
      </w:r>
      <w:r>
        <w:rPr>
          <w:rFonts w:hint="eastAsia" w:ascii="仿宋_GB2312" w:hAnsi="仿宋_GB2312" w:eastAsia="仿宋_GB2312" w:cs="仿宋_GB2312"/>
          <w:snapToGrid w:val="0"/>
          <w:kern w:val="0"/>
          <w:sz w:val="32"/>
          <w:szCs w:val="32"/>
          <w:highlight w:val="none"/>
          <w:u w:val="none"/>
        </w:rPr>
        <w:t>基金运营</w:t>
      </w:r>
      <w:r>
        <w:rPr>
          <w:rFonts w:hint="eastAsia" w:ascii="仿宋_GB2312" w:hAnsi="仿宋_GB2312" w:eastAsia="仿宋_GB2312" w:cs="仿宋_GB2312"/>
          <w:snapToGrid w:val="0"/>
          <w:kern w:val="0"/>
          <w:sz w:val="32"/>
          <w:szCs w:val="32"/>
          <w:highlight w:val="none"/>
          <w:u w:val="none"/>
          <w:lang w:eastAsia="zh-CN"/>
        </w:rPr>
        <w:t>（</w:t>
      </w:r>
      <w:r>
        <w:rPr>
          <w:rFonts w:hint="eastAsia" w:ascii="仿宋_GB2312" w:hAnsi="仿宋_GB2312" w:eastAsia="仿宋_GB2312" w:cs="仿宋_GB2312"/>
          <w:snapToGrid w:val="0"/>
          <w:kern w:val="0"/>
          <w:sz w:val="32"/>
          <w:szCs w:val="32"/>
          <w:highlight w:val="none"/>
          <w:u w:val="none"/>
          <w:lang w:val="en-US" w:eastAsia="zh-CN"/>
        </w:rPr>
        <w:t>主要包括</w:t>
      </w:r>
      <w:r>
        <w:rPr>
          <w:rFonts w:hint="eastAsia" w:ascii="FangSong_GB2312" w:hAnsi="FangSong_GB2312" w:eastAsia="FangSong_GB2312"/>
          <w:sz w:val="32"/>
          <w:szCs w:val="24"/>
          <w:highlight w:val="none"/>
          <w:u w:val="none"/>
        </w:rPr>
        <w:t>自律运营、持续合规、投后管理信息收集、已投资项目风险/异常情况处置</w:t>
      </w:r>
      <w:r>
        <w:rPr>
          <w:rFonts w:hint="eastAsia" w:ascii="仿宋_GB2312" w:hAnsi="仿宋_GB2312" w:eastAsia="仿宋_GB2312" w:cs="仿宋_GB2312"/>
          <w:snapToGrid w:val="0"/>
          <w:kern w:val="0"/>
          <w:sz w:val="32"/>
          <w:szCs w:val="32"/>
          <w:highlight w:val="none"/>
          <w:u w:val="none"/>
          <w:lang w:eastAsia="zh-CN"/>
        </w:rPr>
        <w:t>）</w:t>
      </w:r>
      <w:r>
        <w:rPr>
          <w:rFonts w:hint="eastAsia" w:ascii="仿宋_GB2312" w:hAnsi="仿宋_GB2312" w:eastAsia="仿宋_GB2312" w:cs="仿宋_GB2312"/>
          <w:snapToGrid w:val="0"/>
          <w:kern w:val="0"/>
          <w:sz w:val="32"/>
          <w:szCs w:val="32"/>
          <w:highlight w:val="none"/>
          <w:u w:val="none"/>
          <w:lang w:val="en-US" w:eastAsia="zh-CN"/>
        </w:rPr>
        <w:t>以及</w:t>
      </w:r>
      <w:r>
        <w:rPr>
          <w:rFonts w:hint="eastAsia" w:ascii="仿宋_GB2312" w:hAnsi="仿宋_GB2312" w:eastAsia="仿宋_GB2312" w:cs="仿宋_GB2312"/>
          <w:snapToGrid w:val="0"/>
          <w:kern w:val="0"/>
          <w:sz w:val="32"/>
          <w:szCs w:val="32"/>
          <w:highlight w:val="none"/>
          <w:u w:val="none"/>
        </w:rPr>
        <w:t>鼓励投资基金深度融入四川省产业发展等方面</w:t>
      </w:r>
      <w:r>
        <w:rPr>
          <w:rFonts w:hint="eastAsia" w:ascii="仿宋_GB2312" w:hAnsi="仿宋_GB2312" w:eastAsia="仿宋_GB2312" w:cs="仿宋_GB2312"/>
          <w:snapToGrid w:val="0"/>
          <w:kern w:val="0"/>
          <w:sz w:val="32"/>
          <w:szCs w:val="32"/>
          <w:highlight w:val="none"/>
          <w:u w:val="none"/>
          <w:lang w:val="en-US" w:eastAsia="zh-CN"/>
        </w:rPr>
        <w:t>展开</w:t>
      </w:r>
      <w:r>
        <w:rPr>
          <w:rFonts w:hint="eastAsia" w:ascii="仿宋_GB2312" w:hAnsi="仿宋_GB2312" w:eastAsia="仿宋_GB2312" w:cs="仿宋_GB2312"/>
          <w:snapToGrid w:val="0"/>
          <w:kern w:val="0"/>
          <w:sz w:val="32"/>
          <w:szCs w:val="32"/>
          <w:highlight w:val="none"/>
          <w:u w:val="none"/>
          <w:lang w:eastAsia="zh-CN"/>
        </w:rPr>
        <w:t>。</w:t>
      </w:r>
    </w:p>
    <w:p w14:paraId="5F9D6541">
      <w:pPr>
        <w:adjustRightInd w:val="0"/>
        <w:snapToGrid w:val="0"/>
        <w:spacing w:line="580" w:lineRule="exact"/>
        <w:ind w:firstLine="640"/>
        <w:rPr>
          <w:rFonts w:ascii="黑体" w:hAnsi="黑体" w:eastAsia="黑体" w:cs="黑体"/>
          <w:sz w:val="32"/>
          <w:szCs w:val="32"/>
          <w:highlight w:val="none"/>
          <w:u w:val="none"/>
        </w:rPr>
      </w:pPr>
      <w:r>
        <w:rPr>
          <w:rFonts w:hint="eastAsia" w:ascii="黑体" w:hAnsi="黑体" w:eastAsia="黑体" w:cs="黑体"/>
          <w:sz w:val="32"/>
          <w:szCs w:val="32"/>
          <w:highlight w:val="none"/>
          <w:u w:val="none"/>
        </w:rPr>
        <w:t>三、遴选工作程序</w:t>
      </w:r>
      <w:bookmarkEnd w:id="21"/>
      <w:bookmarkEnd w:id="22"/>
      <w:bookmarkEnd w:id="23"/>
      <w:bookmarkEnd w:id="24"/>
    </w:p>
    <w:p w14:paraId="2EE114E1">
      <w:pPr>
        <w:pStyle w:val="13"/>
        <w:adjustRightInd w:val="0"/>
        <w:snapToGrid w:val="0"/>
        <w:spacing w:line="580" w:lineRule="exact"/>
        <w:ind w:firstLine="640"/>
        <w:rPr>
          <w:rFonts w:ascii="楷体_GB2312" w:hAnsi="楷体_GB2312" w:eastAsia="楷体_GB2312" w:cs="楷体_GB2312"/>
          <w:sz w:val="32"/>
          <w:szCs w:val="32"/>
          <w:highlight w:val="none"/>
          <w:u w:val="none"/>
        </w:rPr>
      </w:pPr>
      <w:bookmarkStart w:id="25" w:name="_Toc10387_WPSOffice_Level2"/>
      <w:bookmarkStart w:id="26" w:name="_Toc30687_WPSOffice_Level2"/>
      <w:bookmarkStart w:id="27" w:name="_Toc28116_WPSOffice_Level2"/>
      <w:bookmarkStart w:id="28" w:name="_Toc1414_WPSOffice_Level2"/>
      <w:r>
        <w:rPr>
          <w:rFonts w:hint="eastAsia" w:ascii="楷体_GB2312" w:hAnsi="楷体_GB2312" w:eastAsia="楷体_GB2312" w:cs="楷体_GB2312"/>
          <w:sz w:val="32"/>
          <w:szCs w:val="32"/>
          <w:highlight w:val="none"/>
          <w:u w:val="none"/>
        </w:rPr>
        <w:t>（一）发布遴选公告</w:t>
      </w:r>
    </w:p>
    <w:p w14:paraId="04CEF743">
      <w:pPr>
        <w:adjustRightInd w:val="0"/>
        <w:snapToGrid w:val="0"/>
        <w:spacing w:line="580" w:lineRule="exact"/>
        <w:ind w:firstLine="640"/>
        <w:rPr>
          <w:rFonts w:ascii="仿宋_GB2312" w:hAnsi="仿宋_GB2312" w:eastAsia="仿宋_GB2312" w:cs="仿宋_GB2312"/>
          <w:snapToGrid w:val="0"/>
          <w:kern w:val="0"/>
          <w:sz w:val="32"/>
          <w:szCs w:val="32"/>
          <w:highlight w:val="none"/>
          <w:u w:val="none"/>
        </w:rPr>
      </w:pPr>
      <w:r>
        <w:rPr>
          <w:rFonts w:hint="eastAsia" w:ascii="仿宋_GB2312" w:hAnsi="仿宋_GB2312" w:eastAsia="仿宋_GB2312" w:cs="仿宋_GB2312"/>
          <w:sz w:val="32"/>
          <w:szCs w:val="32"/>
          <w:highlight w:val="none"/>
          <w:u w:val="none"/>
        </w:rPr>
        <w:t>遴选公告通过</w:t>
      </w:r>
      <w:r>
        <w:rPr>
          <w:rFonts w:hint="eastAsia" w:ascii="仿宋_GB2312" w:hAnsi="仿宋_GB2312" w:eastAsia="仿宋_GB2312" w:cs="仿宋_GB2312"/>
          <w:sz w:val="32"/>
          <w:szCs w:val="32"/>
          <w:highlight w:val="none"/>
          <w:u w:val="none"/>
          <w:lang w:val="en-US" w:eastAsia="zh-CN"/>
        </w:rPr>
        <w:t>四川</w:t>
      </w:r>
      <w:r>
        <w:rPr>
          <w:rFonts w:hint="eastAsia" w:ascii="仿宋_GB2312" w:hAnsi="仿宋_GB2312" w:eastAsia="仿宋_GB2312" w:cs="仿宋_GB2312"/>
          <w:sz w:val="32"/>
          <w:szCs w:val="32"/>
          <w:highlight w:val="none"/>
          <w:u w:val="none"/>
        </w:rPr>
        <w:t>省国资委及相关省属企业</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市州国资委</w:t>
      </w:r>
      <w:r>
        <w:rPr>
          <w:rFonts w:hint="eastAsia" w:ascii="仿宋_GB2312" w:hAnsi="仿宋_GB2312" w:eastAsia="仿宋_GB2312" w:cs="仿宋_GB2312"/>
          <w:sz w:val="32"/>
          <w:szCs w:val="32"/>
          <w:highlight w:val="none"/>
          <w:u w:val="none"/>
          <w:lang w:val="en-US" w:eastAsia="zh-CN"/>
        </w:rPr>
        <w:t>官网</w:t>
      </w:r>
      <w:r>
        <w:rPr>
          <w:rFonts w:hint="eastAsia" w:ascii="仿宋_GB2312" w:hAnsi="仿宋_GB2312" w:eastAsia="仿宋_GB2312" w:cs="仿宋_GB2312"/>
          <w:sz w:val="32"/>
          <w:szCs w:val="32"/>
          <w:highlight w:val="none"/>
          <w:u w:val="none"/>
        </w:rPr>
        <w:t>等渠道，向社会公开发布，公告期为</w:t>
      </w:r>
      <w:r>
        <w:rPr>
          <w:rFonts w:hint="default" w:ascii="Times New Roman" w:hAnsi="Times New Roman" w:eastAsia="仿宋_GB2312" w:cs="Times New Roman"/>
          <w:snapToGrid w:val="0"/>
          <w:kern w:val="0"/>
          <w:sz w:val="32"/>
          <w:szCs w:val="32"/>
          <w:highlight w:val="none"/>
          <w:u w:val="none"/>
        </w:rPr>
        <w:t>5</w:t>
      </w:r>
      <w:r>
        <w:rPr>
          <w:rFonts w:hint="eastAsia" w:ascii="仿宋_GB2312" w:hAnsi="仿宋_GB2312" w:eastAsia="仿宋_GB2312" w:cs="仿宋_GB2312"/>
          <w:sz w:val="32"/>
          <w:szCs w:val="32"/>
          <w:highlight w:val="none"/>
          <w:u w:val="none"/>
        </w:rPr>
        <w:t>个工作日</w:t>
      </w:r>
      <w:r>
        <w:rPr>
          <w:rFonts w:hint="eastAsia" w:ascii="仿宋_GB2312" w:hAnsi="仿宋_GB2312" w:eastAsia="仿宋_GB2312" w:cs="仿宋_GB2312"/>
          <w:snapToGrid w:val="0"/>
          <w:kern w:val="0"/>
          <w:sz w:val="32"/>
          <w:szCs w:val="32"/>
          <w:highlight w:val="none"/>
          <w:u w:val="none"/>
        </w:rPr>
        <w:t>。若提交申报材料不足三家，则重新发布公告。</w:t>
      </w:r>
    </w:p>
    <w:p w14:paraId="51BFB597">
      <w:pPr>
        <w:adjustRightInd w:val="0"/>
        <w:snapToGrid w:val="0"/>
        <w:spacing w:line="580" w:lineRule="exact"/>
        <w:ind w:firstLine="640" w:firstLineChars="200"/>
        <w:rPr>
          <w:rFonts w:ascii="楷体_GB2312" w:hAnsi="楷体_GB2312" w:eastAsia="楷体_GB2312" w:cs="楷体_GB2312"/>
          <w:sz w:val="32"/>
          <w:szCs w:val="32"/>
          <w:highlight w:val="none"/>
          <w:u w:val="none"/>
        </w:rPr>
      </w:pPr>
      <w:r>
        <w:rPr>
          <w:rFonts w:hint="eastAsia" w:ascii="楷体_GB2312" w:hAnsi="楷体_GB2312" w:eastAsia="楷体_GB2312" w:cs="楷体_GB2312"/>
          <w:sz w:val="32"/>
          <w:szCs w:val="32"/>
          <w:highlight w:val="none"/>
          <w:u w:val="none"/>
        </w:rPr>
        <w:t>（二）资质审查</w:t>
      </w:r>
    </w:p>
    <w:p w14:paraId="7D8ED28B">
      <w:pPr>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基金管理</w:t>
      </w:r>
      <w:r>
        <w:rPr>
          <w:rFonts w:hint="eastAsia" w:ascii="仿宋_GB2312" w:hAnsi="仿宋_GB2312" w:eastAsia="仿宋_GB2312" w:cs="仿宋_GB2312"/>
          <w:sz w:val="32"/>
          <w:szCs w:val="32"/>
          <w:highlight w:val="none"/>
          <w:u w:val="none"/>
          <w:lang w:val="en-US" w:eastAsia="zh-CN"/>
        </w:rPr>
        <w:t>机构</w:t>
      </w:r>
      <w:r>
        <w:rPr>
          <w:rFonts w:hint="eastAsia" w:ascii="仿宋_GB2312" w:hAnsi="仿宋_GB2312" w:eastAsia="仿宋_GB2312" w:cs="仿宋_GB2312"/>
          <w:sz w:val="32"/>
          <w:szCs w:val="32"/>
          <w:highlight w:val="none"/>
          <w:u w:val="none"/>
        </w:rPr>
        <w:t>按照遴选方案文件要求编制申报文件，过程中可与遴选工作办公室就基金方案有关要求进行对接咨询。基金管理</w:t>
      </w:r>
      <w:r>
        <w:rPr>
          <w:rFonts w:hint="eastAsia" w:ascii="仿宋_GB2312" w:hAnsi="仿宋_GB2312" w:eastAsia="仿宋_GB2312" w:cs="仿宋_GB2312"/>
          <w:sz w:val="32"/>
          <w:szCs w:val="32"/>
          <w:highlight w:val="none"/>
          <w:u w:val="none"/>
          <w:lang w:val="en-US" w:eastAsia="zh-CN"/>
        </w:rPr>
        <w:t>机构</w:t>
      </w:r>
      <w:r>
        <w:rPr>
          <w:rFonts w:hint="eastAsia" w:ascii="仿宋_GB2312" w:hAnsi="仿宋_GB2312" w:eastAsia="仿宋_GB2312" w:cs="仿宋_GB2312"/>
          <w:sz w:val="32"/>
          <w:szCs w:val="32"/>
          <w:highlight w:val="none"/>
          <w:u w:val="none"/>
        </w:rPr>
        <w:t>在规定期限内将申报文件报送至遴选工作办公室，由遴选工作办公室对申报文件进行初审，主要针对管理机构应具备条件的合格性和资料齐备性、完整性进行审查。</w:t>
      </w:r>
    </w:p>
    <w:p w14:paraId="6E71BB78">
      <w:pPr>
        <w:pStyle w:val="13"/>
        <w:adjustRightInd w:val="0"/>
        <w:snapToGrid w:val="0"/>
        <w:spacing w:line="580" w:lineRule="exact"/>
        <w:ind w:firstLine="640"/>
        <w:rPr>
          <w:rFonts w:ascii="楷体_GB2312" w:hAnsi="楷体_GB2312" w:eastAsia="楷体_GB2312" w:cs="楷体_GB2312"/>
          <w:sz w:val="32"/>
          <w:szCs w:val="32"/>
          <w:highlight w:val="none"/>
          <w:u w:val="none"/>
        </w:rPr>
      </w:pPr>
      <w:r>
        <w:rPr>
          <w:rFonts w:hint="eastAsia" w:ascii="楷体_GB2312" w:hAnsi="楷体_GB2312" w:eastAsia="楷体_GB2312" w:cs="楷体_GB2312"/>
          <w:sz w:val="32"/>
          <w:szCs w:val="32"/>
          <w:highlight w:val="none"/>
          <w:u w:val="none"/>
        </w:rPr>
        <w:t>（三）专业评审</w:t>
      </w:r>
    </w:p>
    <w:p w14:paraId="468C6EB2">
      <w:pPr>
        <w:pStyle w:val="13"/>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评审小组对通过资质审查的基金管理</w:t>
      </w:r>
      <w:r>
        <w:rPr>
          <w:rFonts w:hint="eastAsia" w:ascii="仿宋_GB2312" w:hAnsi="仿宋_GB2312" w:eastAsia="仿宋_GB2312" w:cs="仿宋_GB2312"/>
          <w:sz w:val="32"/>
          <w:szCs w:val="32"/>
          <w:highlight w:val="none"/>
          <w:u w:val="none"/>
          <w:lang w:val="en-US" w:eastAsia="zh-CN"/>
        </w:rPr>
        <w:t>机构</w:t>
      </w:r>
      <w:r>
        <w:rPr>
          <w:rFonts w:hint="eastAsia" w:ascii="仿宋_GB2312" w:hAnsi="仿宋_GB2312" w:eastAsia="仿宋_GB2312" w:cs="仿宋_GB2312"/>
          <w:sz w:val="32"/>
          <w:szCs w:val="32"/>
          <w:highlight w:val="none"/>
          <w:u w:val="none"/>
        </w:rPr>
        <w:t>按其提交的申报文件及现场评议情况进行评审，根据评分指标进行打分。按照评审得分高低选出前三名建议名单。</w:t>
      </w:r>
    </w:p>
    <w:p w14:paraId="3D04F27A">
      <w:pPr>
        <w:pStyle w:val="13"/>
        <w:adjustRightInd w:val="0"/>
        <w:snapToGrid w:val="0"/>
        <w:spacing w:line="580" w:lineRule="exact"/>
        <w:ind w:firstLine="640"/>
        <w:rPr>
          <w:rFonts w:ascii="楷体_GB2312" w:hAnsi="楷体_GB2312" w:eastAsia="楷体_GB2312" w:cs="楷体_GB2312"/>
          <w:snapToGrid w:val="0"/>
          <w:kern w:val="0"/>
          <w:sz w:val="32"/>
          <w:szCs w:val="32"/>
          <w:highlight w:val="none"/>
          <w:u w:val="none"/>
        </w:rPr>
      </w:pPr>
      <w:r>
        <w:rPr>
          <w:rFonts w:hint="eastAsia" w:ascii="楷体_GB2312" w:hAnsi="楷体_GB2312" w:eastAsia="楷体_GB2312" w:cs="楷体_GB2312"/>
          <w:snapToGrid w:val="0"/>
          <w:kern w:val="0"/>
          <w:sz w:val="32"/>
          <w:szCs w:val="32"/>
          <w:highlight w:val="none"/>
          <w:u w:val="none"/>
        </w:rPr>
        <w:t>（四）尽职调查</w:t>
      </w:r>
    </w:p>
    <w:bookmarkEnd w:id="25"/>
    <w:bookmarkEnd w:id="26"/>
    <w:bookmarkEnd w:id="27"/>
    <w:bookmarkEnd w:id="28"/>
    <w:p w14:paraId="759C81D3">
      <w:pPr>
        <w:adjustRightInd w:val="0"/>
        <w:snapToGrid w:val="0"/>
        <w:spacing w:line="580" w:lineRule="exact"/>
        <w:ind w:firstLine="640"/>
        <w:rPr>
          <w:rFonts w:ascii="仿宋_GB2312" w:hAnsi="仿宋_GB2312" w:eastAsia="仿宋_GB2312" w:cs="仿宋_GB2312"/>
          <w:snapToGrid w:val="0"/>
          <w:kern w:val="0"/>
          <w:sz w:val="32"/>
          <w:szCs w:val="32"/>
          <w:highlight w:val="none"/>
          <w:u w:val="none"/>
        </w:rPr>
      </w:pPr>
      <w:r>
        <w:rPr>
          <w:rFonts w:hint="eastAsia" w:ascii="仿宋_GB2312" w:hAnsi="仿宋_GB2312" w:eastAsia="仿宋_GB2312" w:cs="仿宋_GB2312"/>
          <w:snapToGrid w:val="0"/>
          <w:kern w:val="0"/>
          <w:sz w:val="32"/>
          <w:szCs w:val="32"/>
          <w:highlight w:val="none"/>
          <w:u w:val="none"/>
        </w:rPr>
        <w:t>遴选工作组按建议名单顺序</w:t>
      </w:r>
      <w:r>
        <w:rPr>
          <w:rFonts w:hint="eastAsia" w:ascii="仿宋_GB2312" w:hAnsi="仿宋_GB2312" w:eastAsia="仿宋_GB2312" w:cs="仿宋_GB2312"/>
          <w:snapToGrid w:val="0"/>
          <w:kern w:val="0"/>
          <w:sz w:val="32"/>
          <w:szCs w:val="32"/>
          <w:highlight w:val="none"/>
          <w:u w:val="none"/>
          <w:lang w:eastAsia="zh-CN"/>
        </w:rPr>
        <w:t>，</w:t>
      </w:r>
      <w:r>
        <w:rPr>
          <w:rFonts w:hint="eastAsia" w:ascii="仿宋_GB2312" w:hAnsi="仿宋_GB2312" w:eastAsia="仿宋_GB2312" w:cs="仿宋_GB2312"/>
          <w:snapToGrid w:val="0"/>
          <w:kern w:val="0"/>
          <w:sz w:val="32"/>
          <w:szCs w:val="32"/>
          <w:highlight w:val="none"/>
          <w:u w:val="none"/>
        </w:rPr>
        <w:t>聘请第三方机构对基金管理</w:t>
      </w:r>
      <w:r>
        <w:rPr>
          <w:rFonts w:hint="eastAsia" w:ascii="仿宋_GB2312" w:hAnsi="仿宋_GB2312" w:eastAsia="仿宋_GB2312" w:cs="仿宋_GB2312"/>
          <w:snapToGrid w:val="0"/>
          <w:kern w:val="0"/>
          <w:sz w:val="32"/>
          <w:szCs w:val="32"/>
          <w:highlight w:val="none"/>
          <w:u w:val="none"/>
          <w:lang w:val="en-US" w:eastAsia="zh-CN"/>
        </w:rPr>
        <w:t>机构</w:t>
      </w:r>
      <w:r>
        <w:rPr>
          <w:rFonts w:hint="eastAsia" w:ascii="仿宋_GB2312" w:hAnsi="仿宋_GB2312" w:eastAsia="仿宋_GB2312" w:cs="仿宋_GB2312"/>
          <w:snapToGrid w:val="0"/>
          <w:kern w:val="0"/>
          <w:sz w:val="32"/>
          <w:szCs w:val="32"/>
          <w:highlight w:val="none"/>
          <w:u w:val="none"/>
        </w:rPr>
        <w:t>各方面材料重要事项的真实性、合规性等开展尽职调查。若第一建议人选通过尽职调查，则作为基金管理</w:t>
      </w:r>
      <w:r>
        <w:rPr>
          <w:rFonts w:hint="eastAsia" w:ascii="仿宋_GB2312" w:hAnsi="仿宋_GB2312" w:eastAsia="仿宋_GB2312" w:cs="仿宋_GB2312"/>
          <w:snapToGrid w:val="0"/>
          <w:kern w:val="0"/>
          <w:sz w:val="32"/>
          <w:szCs w:val="32"/>
          <w:highlight w:val="none"/>
          <w:u w:val="none"/>
          <w:lang w:val="en-US" w:eastAsia="zh-CN"/>
        </w:rPr>
        <w:t>机构</w:t>
      </w:r>
      <w:r>
        <w:rPr>
          <w:rFonts w:hint="eastAsia" w:ascii="仿宋_GB2312" w:hAnsi="仿宋_GB2312" w:eastAsia="仿宋_GB2312" w:cs="仿宋_GB2312"/>
          <w:snapToGrid w:val="0"/>
          <w:kern w:val="0"/>
          <w:sz w:val="32"/>
          <w:szCs w:val="32"/>
          <w:highlight w:val="none"/>
          <w:u w:val="none"/>
        </w:rPr>
        <w:t>最终建议人选报领导小组确定。若未通过，再依次对第二、三建议人选开展尽职调查。通过尽职调查，则作为基金管理</w:t>
      </w:r>
      <w:r>
        <w:rPr>
          <w:rFonts w:hint="eastAsia" w:ascii="仿宋_GB2312" w:hAnsi="仿宋_GB2312" w:eastAsia="仿宋_GB2312" w:cs="仿宋_GB2312"/>
          <w:snapToGrid w:val="0"/>
          <w:kern w:val="0"/>
          <w:sz w:val="32"/>
          <w:szCs w:val="32"/>
          <w:highlight w:val="none"/>
          <w:u w:val="none"/>
          <w:lang w:val="en-US" w:eastAsia="zh-CN"/>
        </w:rPr>
        <w:t>机构</w:t>
      </w:r>
      <w:r>
        <w:rPr>
          <w:rFonts w:hint="eastAsia" w:ascii="仿宋_GB2312" w:hAnsi="仿宋_GB2312" w:eastAsia="仿宋_GB2312" w:cs="仿宋_GB2312"/>
          <w:snapToGrid w:val="0"/>
          <w:kern w:val="0"/>
          <w:sz w:val="32"/>
          <w:szCs w:val="32"/>
          <w:highlight w:val="none"/>
          <w:u w:val="none"/>
        </w:rPr>
        <w:t>最终建议人选报领导小组确定。若前三名均未通过尽职调查，则重新启动遴选程序。</w:t>
      </w:r>
    </w:p>
    <w:p w14:paraId="35D1DACB">
      <w:pPr>
        <w:pStyle w:val="13"/>
        <w:adjustRightInd w:val="0"/>
        <w:snapToGrid w:val="0"/>
        <w:spacing w:line="580" w:lineRule="exact"/>
        <w:ind w:firstLine="640"/>
        <w:rPr>
          <w:rFonts w:ascii="楷体_GB2312" w:hAnsi="楷体_GB2312" w:eastAsia="楷体_GB2312" w:cs="楷体_GB2312"/>
          <w:snapToGrid w:val="0"/>
          <w:kern w:val="0"/>
          <w:sz w:val="32"/>
          <w:szCs w:val="32"/>
          <w:highlight w:val="none"/>
          <w:u w:val="none"/>
        </w:rPr>
      </w:pPr>
      <w:r>
        <w:rPr>
          <w:rFonts w:hint="eastAsia" w:ascii="楷体_GB2312" w:hAnsi="楷体_GB2312" w:eastAsia="楷体_GB2312" w:cs="楷体_GB2312"/>
          <w:snapToGrid w:val="0"/>
          <w:kern w:val="0"/>
          <w:sz w:val="32"/>
          <w:szCs w:val="32"/>
          <w:highlight w:val="none"/>
          <w:u w:val="none"/>
        </w:rPr>
        <w:t>（五）管理</w:t>
      </w:r>
      <w:r>
        <w:rPr>
          <w:rFonts w:hint="eastAsia" w:ascii="楷体_GB2312" w:hAnsi="楷体_GB2312" w:eastAsia="楷体_GB2312" w:cs="楷体_GB2312"/>
          <w:snapToGrid w:val="0"/>
          <w:kern w:val="0"/>
          <w:sz w:val="32"/>
          <w:szCs w:val="32"/>
          <w:highlight w:val="none"/>
          <w:u w:val="none"/>
          <w:lang w:val="en-US" w:eastAsia="zh-CN"/>
        </w:rPr>
        <w:t>人</w:t>
      </w:r>
      <w:r>
        <w:rPr>
          <w:rFonts w:hint="eastAsia" w:ascii="楷体_GB2312" w:hAnsi="楷体_GB2312" w:eastAsia="楷体_GB2312" w:cs="楷体_GB2312"/>
          <w:snapToGrid w:val="0"/>
          <w:kern w:val="0"/>
          <w:sz w:val="32"/>
          <w:szCs w:val="32"/>
          <w:highlight w:val="none"/>
          <w:u w:val="none"/>
        </w:rPr>
        <w:t>确定</w:t>
      </w:r>
    </w:p>
    <w:p w14:paraId="79DEB841">
      <w:pPr>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对于基金管理</w:t>
      </w:r>
      <w:r>
        <w:rPr>
          <w:rFonts w:hint="eastAsia" w:ascii="仿宋_GB2312" w:hAnsi="仿宋_GB2312" w:eastAsia="仿宋_GB2312" w:cs="仿宋_GB2312"/>
          <w:sz w:val="32"/>
          <w:szCs w:val="32"/>
          <w:highlight w:val="none"/>
          <w:u w:val="none"/>
          <w:lang w:val="en-US" w:eastAsia="zh-CN"/>
        </w:rPr>
        <w:t>机构</w:t>
      </w:r>
      <w:r>
        <w:rPr>
          <w:rFonts w:hint="eastAsia" w:ascii="仿宋_GB2312" w:hAnsi="仿宋_GB2312" w:eastAsia="仿宋_GB2312" w:cs="仿宋_GB2312"/>
          <w:sz w:val="32"/>
          <w:szCs w:val="32"/>
          <w:highlight w:val="none"/>
          <w:u w:val="none"/>
        </w:rPr>
        <w:t>最终建议人选，由遴选工作组履行决策程序后，确定为基金管理</w:t>
      </w:r>
      <w:r>
        <w:rPr>
          <w:rFonts w:hint="eastAsia" w:ascii="仿宋_GB2312" w:hAnsi="仿宋_GB2312" w:eastAsia="仿宋_GB2312" w:cs="仿宋_GB2312"/>
          <w:sz w:val="32"/>
          <w:szCs w:val="32"/>
          <w:highlight w:val="none"/>
          <w:u w:val="none"/>
          <w:lang w:val="en-US" w:eastAsia="zh-CN"/>
        </w:rPr>
        <w:t>机构</w:t>
      </w:r>
      <w:r>
        <w:rPr>
          <w:rFonts w:hint="eastAsia" w:ascii="仿宋_GB2312" w:hAnsi="仿宋_GB2312" w:eastAsia="仿宋_GB2312" w:cs="仿宋_GB2312"/>
          <w:sz w:val="32"/>
          <w:szCs w:val="32"/>
          <w:highlight w:val="none"/>
          <w:u w:val="none"/>
        </w:rPr>
        <w:t>人选。</w:t>
      </w:r>
    </w:p>
    <w:p w14:paraId="198D10C8">
      <w:pPr>
        <w:pStyle w:val="13"/>
        <w:adjustRightInd w:val="0"/>
        <w:snapToGrid w:val="0"/>
        <w:spacing w:line="580" w:lineRule="exact"/>
        <w:ind w:firstLine="640"/>
        <w:rPr>
          <w:rFonts w:ascii="楷体_GB2312" w:hAnsi="楷体_GB2312" w:eastAsia="楷体_GB2312" w:cs="楷体_GB2312"/>
          <w:snapToGrid w:val="0"/>
          <w:kern w:val="0"/>
          <w:sz w:val="32"/>
          <w:szCs w:val="32"/>
          <w:highlight w:val="none"/>
          <w:u w:val="none"/>
        </w:rPr>
      </w:pPr>
      <w:r>
        <w:rPr>
          <w:rFonts w:hint="eastAsia" w:ascii="楷体_GB2312" w:hAnsi="楷体_GB2312" w:eastAsia="楷体_GB2312" w:cs="楷体_GB2312"/>
          <w:snapToGrid w:val="0"/>
          <w:kern w:val="0"/>
          <w:sz w:val="32"/>
          <w:szCs w:val="32"/>
          <w:highlight w:val="none"/>
          <w:u w:val="none"/>
        </w:rPr>
        <w:t>（六）社会公示</w:t>
      </w:r>
    </w:p>
    <w:p w14:paraId="3758E318">
      <w:pPr>
        <w:adjustRightInd w:val="0"/>
        <w:snapToGrid w:val="0"/>
        <w:spacing w:line="580" w:lineRule="exact"/>
        <w:ind w:firstLine="640"/>
        <w:rPr>
          <w:rFonts w:ascii="仿宋_GB2312" w:hAnsi="仿宋_GB2312" w:eastAsia="仿宋_GB2312" w:cs="仿宋_GB2312"/>
          <w:snapToGrid w:val="0"/>
          <w:kern w:val="0"/>
          <w:sz w:val="32"/>
          <w:szCs w:val="32"/>
          <w:highlight w:val="none"/>
          <w:u w:val="none"/>
        </w:rPr>
      </w:pPr>
      <w:r>
        <w:rPr>
          <w:rFonts w:hint="eastAsia" w:ascii="仿宋_GB2312" w:hAnsi="仿宋_GB2312" w:eastAsia="仿宋_GB2312" w:cs="仿宋_GB2312"/>
          <w:snapToGrid w:val="0"/>
          <w:kern w:val="0"/>
          <w:sz w:val="32"/>
          <w:szCs w:val="32"/>
          <w:highlight w:val="none"/>
          <w:u w:val="none"/>
        </w:rPr>
        <w:t>将确定的基金管理</w:t>
      </w:r>
      <w:r>
        <w:rPr>
          <w:rFonts w:hint="eastAsia" w:ascii="仿宋_GB2312" w:hAnsi="仿宋_GB2312" w:eastAsia="仿宋_GB2312" w:cs="仿宋_GB2312"/>
          <w:snapToGrid w:val="0"/>
          <w:kern w:val="0"/>
          <w:sz w:val="32"/>
          <w:szCs w:val="32"/>
          <w:highlight w:val="none"/>
          <w:u w:val="none"/>
          <w:lang w:val="en-US" w:eastAsia="zh-CN"/>
        </w:rPr>
        <w:t>机构</w:t>
      </w:r>
      <w:r>
        <w:rPr>
          <w:rFonts w:hint="eastAsia" w:ascii="仿宋_GB2312" w:hAnsi="仿宋_GB2312" w:eastAsia="仿宋_GB2312" w:cs="仿宋_GB2312"/>
          <w:snapToGrid w:val="0"/>
          <w:kern w:val="0"/>
          <w:sz w:val="32"/>
          <w:szCs w:val="32"/>
          <w:highlight w:val="none"/>
          <w:u w:val="none"/>
        </w:rPr>
        <w:t>人选通过</w:t>
      </w:r>
      <w:r>
        <w:rPr>
          <w:rFonts w:hint="eastAsia" w:ascii="仿宋_GB2312" w:hAnsi="仿宋_GB2312" w:eastAsia="仿宋_GB2312" w:cs="仿宋_GB2312"/>
          <w:snapToGrid w:val="0"/>
          <w:kern w:val="0"/>
          <w:sz w:val="32"/>
          <w:szCs w:val="32"/>
          <w:highlight w:val="none"/>
          <w:u w:val="none"/>
          <w:lang w:val="en-US" w:eastAsia="zh-CN"/>
        </w:rPr>
        <w:t>四川省</w:t>
      </w:r>
      <w:r>
        <w:rPr>
          <w:rFonts w:hint="eastAsia" w:ascii="仿宋_GB2312" w:hAnsi="仿宋_GB2312" w:eastAsia="仿宋_GB2312" w:cs="仿宋_GB2312"/>
          <w:snapToGrid w:val="0"/>
          <w:kern w:val="0"/>
          <w:sz w:val="32"/>
          <w:szCs w:val="32"/>
          <w:highlight w:val="none"/>
          <w:u w:val="none"/>
        </w:rPr>
        <w:t>国资委网站进行公示，公示期为</w:t>
      </w:r>
      <w:r>
        <w:rPr>
          <w:rFonts w:hint="default" w:ascii="Times New Roman" w:hAnsi="Times New Roman" w:eastAsia="仿宋_GB2312" w:cs="Times New Roman"/>
          <w:snapToGrid w:val="0"/>
          <w:kern w:val="0"/>
          <w:sz w:val="32"/>
          <w:szCs w:val="32"/>
          <w:highlight w:val="none"/>
          <w:u w:val="none"/>
        </w:rPr>
        <w:t>5</w:t>
      </w:r>
      <w:r>
        <w:rPr>
          <w:rFonts w:hint="eastAsia" w:ascii="仿宋_GB2312" w:hAnsi="仿宋_GB2312" w:eastAsia="仿宋_GB2312" w:cs="仿宋_GB2312"/>
          <w:snapToGrid w:val="0"/>
          <w:kern w:val="0"/>
          <w:sz w:val="32"/>
          <w:szCs w:val="32"/>
          <w:highlight w:val="none"/>
          <w:u w:val="none"/>
        </w:rPr>
        <w:t>个工作日，公示无异议的确定为基金管理</w:t>
      </w:r>
      <w:r>
        <w:rPr>
          <w:rFonts w:hint="eastAsia" w:ascii="仿宋_GB2312" w:hAnsi="仿宋_GB2312" w:eastAsia="仿宋_GB2312" w:cs="仿宋_GB2312"/>
          <w:snapToGrid w:val="0"/>
          <w:kern w:val="0"/>
          <w:sz w:val="32"/>
          <w:szCs w:val="32"/>
          <w:highlight w:val="none"/>
          <w:u w:val="none"/>
          <w:lang w:val="en-US" w:eastAsia="zh-CN"/>
        </w:rPr>
        <w:t>机构</w:t>
      </w:r>
      <w:r>
        <w:rPr>
          <w:rFonts w:hint="eastAsia" w:ascii="仿宋_GB2312" w:hAnsi="仿宋_GB2312" w:eastAsia="仿宋_GB2312" w:cs="仿宋_GB2312"/>
          <w:snapToGrid w:val="0"/>
          <w:kern w:val="0"/>
          <w:sz w:val="32"/>
          <w:szCs w:val="32"/>
          <w:highlight w:val="none"/>
          <w:u w:val="none"/>
        </w:rPr>
        <w:t>。</w:t>
      </w:r>
    </w:p>
    <w:p w14:paraId="5EA532A8">
      <w:pPr>
        <w:adjustRightInd w:val="0"/>
        <w:snapToGrid w:val="0"/>
        <w:spacing w:line="580" w:lineRule="exact"/>
        <w:rPr>
          <w:highlight w:val="none"/>
          <w:u w:val="none"/>
        </w:rPr>
      </w:pPr>
    </w:p>
    <w:p w14:paraId="3E6B2D7E">
      <w:pPr>
        <w:rPr>
          <w:highlight w:val="none"/>
          <w:u w:val="none"/>
        </w:rPr>
      </w:pPr>
      <w:r>
        <w:rPr>
          <w:highlight w:val="none"/>
          <w:u w:val="none"/>
        </w:rPr>
        <w:br w:type="page"/>
      </w:r>
    </w:p>
    <w:p w14:paraId="13330D89">
      <w:pPr>
        <w:rPr>
          <w:rFonts w:ascii="黑体" w:hAnsi="黑体" w:eastAsia="黑体" w:cs="黑体"/>
          <w:sz w:val="32"/>
          <w:szCs w:val="32"/>
          <w:highlight w:val="none"/>
          <w:u w:val="none"/>
        </w:rPr>
      </w:pPr>
      <w:r>
        <w:rPr>
          <w:rFonts w:hint="eastAsia" w:ascii="黑体" w:hAnsi="黑体" w:eastAsia="黑体" w:cs="黑体"/>
          <w:sz w:val="32"/>
          <w:szCs w:val="32"/>
          <w:highlight w:val="none"/>
          <w:u w:val="none"/>
        </w:rPr>
        <w:t>附件</w:t>
      </w:r>
      <w:r>
        <w:rPr>
          <w:rFonts w:hint="default" w:ascii="Times New Roman" w:hAnsi="Times New Roman" w:eastAsia="黑体" w:cs="Times New Roman"/>
          <w:sz w:val="32"/>
          <w:szCs w:val="32"/>
          <w:highlight w:val="none"/>
          <w:u w:val="none"/>
        </w:rPr>
        <w:t>2</w:t>
      </w:r>
    </w:p>
    <w:p w14:paraId="4D690AB6">
      <w:pPr>
        <w:adjustRightInd w:val="0"/>
        <w:snapToGrid w:val="0"/>
        <w:spacing w:line="680" w:lineRule="exact"/>
        <w:rPr>
          <w:rFonts w:ascii="黑体" w:hAnsi="黑体" w:eastAsia="黑体" w:cs="黑体"/>
          <w:sz w:val="32"/>
          <w:szCs w:val="32"/>
          <w:highlight w:val="none"/>
          <w:u w:val="none"/>
        </w:rPr>
      </w:pPr>
    </w:p>
    <w:p w14:paraId="5174E365">
      <w:pPr>
        <w:pStyle w:val="2"/>
        <w:adjustRightInd w:val="0"/>
        <w:snapToGrid w:val="0"/>
        <w:spacing w:before="0" w:after="0" w:line="680" w:lineRule="exact"/>
        <w:jc w:val="center"/>
        <w:rPr>
          <w:rFonts w:hint="eastAsia" w:ascii="方正小标宋简体" w:hAnsi="方正小标宋简体" w:eastAsia="方正小标宋简体" w:cs="方正小标宋简体"/>
          <w:b w:val="0"/>
          <w:bCs w:val="0"/>
          <w:sz w:val="36"/>
          <w:szCs w:val="36"/>
          <w:highlight w:val="none"/>
          <w:u w:val="none"/>
        </w:rPr>
      </w:pPr>
      <w:bookmarkStart w:id="29" w:name="_Toc19879_WPSOffice_Level1"/>
      <w:bookmarkStart w:id="30" w:name="_Toc32252_WPSOffice_Level1"/>
      <w:bookmarkStart w:id="31" w:name="_Toc7163_WPSOffice_Level1"/>
      <w:bookmarkStart w:id="32" w:name="_Toc30318_WPSOffice_Level1"/>
      <w:r>
        <w:rPr>
          <w:rFonts w:hint="eastAsia" w:ascii="方正小标宋简体" w:hAnsi="方正小标宋简体" w:eastAsia="方正小标宋简体" w:cs="方正小标宋简体"/>
          <w:b w:val="0"/>
          <w:bCs w:val="0"/>
          <w:sz w:val="36"/>
          <w:szCs w:val="36"/>
          <w:highlight w:val="none"/>
          <w:u w:val="none"/>
        </w:rPr>
        <w:t>高校科技成果转化基金管理</w:t>
      </w:r>
      <w:r>
        <w:rPr>
          <w:rFonts w:hint="eastAsia" w:ascii="方正小标宋简体" w:hAnsi="方正小标宋简体" w:eastAsia="方正小标宋简体" w:cs="方正小标宋简体"/>
          <w:b w:val="0"/>
          <w:bCs w:val="0"/>
          <w:sz w:val="36"/>
          <w:szCs w:val="36"/>
          <w:highlight w:val="none"/>
          <w:u w:val="none"/>
          <w:lang w:val="en-US" w:eastAsia="zh-CN"/>
        </w:rPr>
        <w:t>机构</w:t>
      </w:r>
      <w:r>
        <w:rPr>
          <w:rFonts w:hint="eastAsia" w:ascii="方正小标宋简体" w:hAnsi="方正小标宋简体" w:eastAsia="方正小标宋简体" w:cs="方正小标宋简体"/>
          <w:b w:val="0"/>
          <w:bCs w:val="0"/>
          <w:sz w:val="36"/>
          <w:szCs w:val="36"/>
          <w:highlight w:val="none"/>
          <w:u w:val="none"/>
        </w:rPr>
        <w:t>申请表</w:t>
      </w:r>
      <w:bookmarkEnd w:id="29"/>
      <w:bookmarkEnd w:id="30"/>
      <w:bookmarkEnd w:id="31"/>
      <w:bookmarkEnd w:id="32"/>
    </w:p>
    <w:p w14:paraId="60DC1EDC">
      <w:pPr>
        <w:rPr>
          <w:highlight w:val="none"/>
          <w:u w:val="none"/>
        </w:rPr>
      </w:pPr>
    </w:p>
    <w:p w14:paraId="7997F936">
      <w:pPr>
        <w:ind w:firstLine="440"/>
        <w:rPr>
          <w:sz w:val="22"/>
          <w:szCs w:val="28"/>
          <w:highlight w:val="none"/>
          <w:u w:val="none"/>
        </w:rPr>
      </w:pPr>
      <w:bookmarkStart w:id="33" w:name="_Toc29829_WPSOffice_Level2"/>
      <w:bookmarkStart w:id="34" w:name="_Toc22487_WPSOffice_Level2"/>
      <w:bookmarkStart w:id="35" w:name="_Toc4511_WPSOffice_Level2"/>
      <w:bookmarkStart w:id="36" w:name="_Toc9631_WPSOffice_Level2"/>
      <w:r>
        <w:rPr>
          <w:rFonts w:hint="eastAsia"/>
          <w:sz w:val="22"/>
          <w:szCs w:val="28"/>
          <w:highlight w:val="none"/>
          <w:u w:val="none"/>
        </w:rPr>
        <w:t>（</w:t>
      </w:r>
      <w:r>
        <w:rPr>
          <w:rFonts w:hint="eastAsia" w:ascii="宋体" w:hAnsi="宋体"/>
          <w:sz w:val="22"/>
          <w:szCs w:val="28"/>
          <w:highlight w:val="none"/>
          <w:u w:val="none"/>
        </w:rPr>
        <w:t>公章</w:t>
      </w:r>
      <w:r>
        <w:rPr>
          <w:rFonts w:hint="eastAsia"/>
          <w:sz w:val="22"/>
          <w:szCs w:val="28"/>
          <w:highlight w:val="none"/>
          <w:u w:val="none"/>
        </w:rPr>
        <w:t>）</w:t>
      </w:r>
      <w:bookmarkEnd w:id="33"/>
      <w:bookmarkEnd w:id="34"/>
      <w:bookmarkEnd w:id="35"/>
      <w:bookmarkEnd w:id="36"/>
    </w:p>
    <w:tbl>
      <w:tblPr>
        <w:tblStyle w:val="10"/>
        <w:tblW w:w="9663" w:type="dxa"/>
        <w:tblInd w:w="-2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6"/>
        <w:gridCol w:w="1225"/>
        <w:gridCol w:w="1984"/>
        <w:gridCol w:w="2025"/>
        <w:gridCol w:w="2713"/>
      </w:tblGrid>
      <w:tr w14:paraId="314DE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9663" w:type="dxa"/>
            <w:gridSpan w:val="5"/>
            <w:shd w:val="clear" w:color="000000" w:fill="FFFFFF"/>
            <w:vAlign w:val="center"/>
          </w:tcPr>
          <w:p w14:paraId="1347CF2C">
            <w:pPr>
              <w:jc w:val="center"/>
              <w:rPr>
                <w:rFonts w:ascii="黑体" w:hAnsi="黑体" w:eastAsia="黑体" w:cs="黑体"/>
                <w:sz w:val="24"/>
                <w:highlight w:val="none"/>
                <w:u w:val="none"/>
                <w:lang w:val="zh-CN"/>
              </w:rPr>
            </w:pPr>
            <w:r>
              <w:rPr>
                <w:rFonts w:hint="eastAsia" w:ascii="黑体" w:hAnsi="黑体" w:eastAsia="黑体" w:cs="黑体"/>
                <w:sz w:val="24"/>
                <w:highlight w:val="none"/>
                <w:u w:val="none"/>
                <w:lang w:val="zh-CN"/>
              </w:rPr>
              <w:t>申请机构</w:t>
            </w:r>
          </w:p>
        </w:tc>
      </w:tr>
      <w:tr w14:paraId="2AA3E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1716" w:type="dxa"/>
            <w:shd w:val="clear" w:color="000000" w:fill="FFFFFF"/>
            <w:vAlign w:val="center"/>
          </w:tcPr>
          <w:p w14:paraId="37E30531">
            <w:pPr>
              <w:jc w:val="center"/>
              <w:rPr>
                <w:rFonts w:ascii="黑体" w:hAnsi="黑体" w:eastAsia="黑体" w:cs="黑体"/>
                <w:sz w:val="24"/>
                <w:highlight w:val="none"/>
                <w:u w:val="none"/>
                <w:lang w:val="zh-CN"/>
              </w:rPr>
            </w:pPr>
            <w:r>
              <w:rPr>
                <w:rFonts w:hint="eastAsia" w:ascii="黑体" w:hAnsi="黑体" w:eastAsia="黑体" w:cs="黑体"/>
                <w:sz w:val="24"/>
                <w:highlight w:val="none"/>
                <w:u w:val="none"/>
                <w:lang w:val="zh-CN"/>
              </w:rPr>
              <w:t>机构名称</w:t>
            </w:r>
          </w:p>
        </w:tc>
        <w:tc>
          <w:tcPr>
            <w:tcW w:w="3209" w:type="dxa"/>
            <w:gridSpan w:val="2"/>
            <w:shd w:val="clear" w:color="000000" w:fill="FFFFFF"/>
            <w:vAlign w:val="center"/>
          </w:tcPr>
          <w:p w14:paraId="70B43088">
            <w:pPr>
              <w:ind w:firstLine="480"/>
              <w:jc w:val="center"/>
              <w:rPr>
                <w:rFonts w:ascii="黑体" w:hAnsi="黑体" w:eastAsia="黑体" w:cs="黑体"/>
                <w:sz w:val="24"/>
                <w:highlight w:val="none"/>
                <w:u w:val="none"/>
                <w:lang w:val="zh-CN"/>
              </w:rPr>
            </w:pPr>
          </w:p>
        </w:tc>
        <w:tc>
          <w:tcPr>
            <w:tcW w:w="2025" w:type="dxa"/>
            <w:shd w:val="clear" w:color="000000" w:fill="FFFFFF"/>
            <w:vAlign w:val="center"/>
          </w:tcPr>
          <w:p w14:paraId="488AA48C">
            <w:pPr>
              <w:spacing w:line="500" w:lineRule="exact"/>
              <w:jc w:val="center"/>
              <w:rPr>
                <w:rFonts w:ascii="黑体" w:hAnsi="黑体" w:eastAsia="黑体" w:cs="黑体"/>
                <w:sz w:val="24"/>
                <w:highlight w:val="none"/>
                <w:u w:val="none"/>
              </w:rPr>
            </w:pPr>
            <w:r>
              <w:rPr>
                <w:rFonts w:hint="eastAsia" w:ascii="黑体" w:hAnsi="黑体" w:eastAsia="黑体" w:cs="黑体"/>
                <w:sz w:val="24"/>
                <w:highlight w:val="none"/>
                <w:u w:val="none"/>
                <w:lang w:val="zh-CN"/>
              </w:rPr>
              <w:t>法定代表人</w:t>
            </w:r>
            <w:r>
              <w:rPr>
                <w:rFonts w:hint="eastAsia" w:ascii="黑体" w:hAnsi="黑体" w:eastAsia="黑体" w:cs="黑体"/>
                <w:sz w:val="24"/>
                <w:highlight w:val="none"/>
                <w:u w:val="none"/>
              </w:rPr>
              <w:t>/</w:t>
            </w:r>
          </w:p>
          <w:p w14:paraId="02B6D1AD">
            <w:pPr>
              <w:spacing w:line="500" w:lineRule="exact"/>
              <w:jc w:val="center"/>
              <w:rPr>
                <w:rFonts w:ascii="黑体" w:hAnsi="黑体" w:eastAsia="黑体" w:cs="黑体"/>
                <w:sz w:val="24"/>
                <w:highlight w:val="none"/>
                <w:u w:val="none"/>
                <w:lang w:val="zh-CN"/>
              </w:rPr>
            </w:pPr>
            <w:r>
              <w:rPr>
                <w:rFonts w:hint="eastAsia" w:ascii="黑体" w:hAnsi="黑体" w:eastAsia="黑体" w:cs="黑体"/>
                <w:sz w:val="24"/>
                <w:highlight w:val="none"/>
                <w:u w:val="none"/>
                <w:lang w:val="zh-CN"/>
              </w:rPr>
              <w:t>执行事务合伙人</w:t>
            </w:r>
          </w:p>
        </w:tc>
        <w:tc>
          <w:tcPr>
            <w:tcW w:w="2713" w:type="dxa"/>
            <w:shd w:val="clear" w:color="000000" w:fill="FFFFFF"/>
            <w:vAlign w:val="center"/>
          </w:tcPr>
          <w:p w14:paraId="432B2ADE">
            <w:pPr>
              <w:ind w:firstLine="480"/>
              <w:jc w:val="center"/>
              <w:rPr>
                <w:rFonts w:ascii="黑体" w:hAnsi="黑体" w:eastAsia="黑体" w:cs="黑体"/>
                <w:sz w:val="24"/>
                <w:highlight w:val="none"/>
                <w:u w:val="none"/>
                <w:lang w:val="zh-CN"/>
              </w:rPr>
            </w:pPr>
          </w:p>
        </w:tc>
      </w:tr>
      <w:tr w14:paraId="50E0E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7" w:hRule="atLeast"/>
        </w:trPr>
        <w:tc>
          <w:tcPr>
            <w:tcW w:w="1716" w:type="dxa"/>
            <w:shd w:val="clear" w:color="000000" w:fill="FFFFFF"/>
            <w:vAlign w:val="center"/>
          </w:tcPr>
          <w:p w14:paraId="2395034B">
            <w:pPr>
              <w:adjustRightInd w:val="0"/>
              <w:snapToGrid w:val="0"/>
              <w:jc w:val="center"/>
              <w:rPr>
                <w:rFonts w:ascii="黑体" w:hAnsi="黑体" w:eastAsia="黑体" w:cs="黑体"/>
                <w:sz w:val="24"/>
                <w:highlight w:val="none"/>
                <w:u w:val="none"/>
                <w:lang w:val="zh-CN"/>
              </w:rPr>
            </w:pPr>
            <w:r>
              <w:rPr>
                <w:rFonts w:hint="eastAsia" w:ascii="黑体" w:hAnsi="黑体" w:eastAsia="黑体" w:cs="黑体"/>
                <w:sz w:val="24"/>
                <w:highlight w:val="none"/>
                <w:u w:val="none"/>
                <w:lang w:val="zh-CN"/>
              </w:rPr>
              <w:t>注册地址</w:t>
            </w:r>
          </w:p>
        </w:tc>
        <w:tc>
          <w:tcPr>
            <w:tcW w:w="3209" w:type="dxa"/>
            <w:gridSpan w:val="2"/>
            <w:shd w:val="clear" w:color="000000" w:fill="FFFFFF"/>
            <w:vAlign w:val="center"/>
          </w:tcPr>
          <w:p w14:paraId="6CB6FB64">
            <w:pPr>
              <w:ind w:firstLine="480"/>
              <w:jc w:val="center"/>
              <w:rPr>
                <w:rFonts w:ascii="黑体" w:hAnsi="黑体" w:eastAsia="黑体" w:cs="黑体"/>
                <w:sz w:val="24"/>
                <w:highlight w:val="none"/>
                <w:u w:val="none"/>
                <w:lang w:val="zh-CN"/>
              </w:rPr>
            </w:pPr>
          </w:p>
        </w:tc>
        <w:tc>
          <w:tcPr>
            <w:tcW w:w="2025" w:type="dxa"/>
            <w:shd w:val="clear" w:color="000000" w:fill="FFFFFF"/>
            <w:vAlign w:val="center"/>
          </w:tcPr>
          <w:p w14:paraId="3426AFD6">
            <w:pPr>
              <w:jc w:val="center"/>
              <w:rPr>
                <w:rFonts w:ascii="黑体" w:hAnsi="黑体" w:eastAsia="黑体" w:cs="黑体"/>
                <w:sz w:val="24"/>
                <w:highlight w:val="none"/>
                <w:u w:val="none"/>
                <w:lang w:val="zh-CN"/>
              </w:rPr>
            </w:pPr>
            <w:r>
              <w:rPr>
                <w:rFonts w:hint="eastAsia" w:ascii="黑体" w:hAnsi="黑体" w:eastAsia="黑体" w:cs="黑体"/>
                <w:sz w:val="24"/>
                <w:highlight w:val="none"/>
                <w:u w:val="none"/>
                <w:lang w:val="zh-CN"/>
              </w:rPr>
              <w:t>社会信用代码</w:t>
            </w:r>
          </w:p>
        </w:tc>
        <w:tc>
          <w:tcPr>
            <w:tcW w:w="2713" w:type="dxa"/>
            <w:shd w:val="clear" w:color="000000" w:fill="FFFFFF"/>
            <w:vAlign w:val="center"/>
          </w:tcPr>
          <w:p w14:paraId="6A18DD61">
            <w:pPr>
              <w:ind w:firstLine="480"/>
              <w:jc w:val="center"/>
              <w:rPr>
                <w:rFonts w:ascii="黑体" w:hAnsi="黑体" w:eastAsia="黑体" w:cs="黑体"/>
                <w:sz w:val="24"/>
                <w:highlight w:val="none"/>
                <w:u w:val="none"/>
                <w:lang w:val="zh-CN"/>
              </w:rPr>
            </w:pPr>
          </w:p>
        </w:tc>
      </w:tr>
      <w:tr w14:paraId="0C5C8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1716" w:type="dxa"/>
            <w:shd w:val="clear" w:color="000000" w:fill="FFFFFF"/>
            <w:vAlign w:val="center"/>
          </w:tcPr>
          <w:p w14:paraId="1F1891D1">
            <w:pPr>
              <w:spacing w:line="500" w:lineRule="exact"/>
              <w:jc w:val="center"/>
              <w:rPr>
                <w:rFonts w:ascii="黑体" w:hAnsi="黑体" w:eastAsia="黑体" w:cs="黑体"/>
                <w:sz w:val="24"/>
                <w:highlight w:val="none"/>
                <w:u w:val="none"/>
                <w:lang w:val="zh-CN"/>
              </w:rPr>
            </w:pPr>
            <w:r>
              <w:rPr>
                <w:rFonts w:hint="eastAsia" w:ascii="黑体" w:hAnsi="黑体" w:eastAsia="黑体" w:cs="黑体"/>
                <w:sz w:val="24"/>
                <w:highlight w:val="none"/>
                <w:u w:val="none"/>
                <w:lang w:val="zh-CN"/>
              </w:rPr>
              <w:t>注册资本/</w:t>
            </w:r>
          </w:p>
          <w:p w14:paraId="3CDFC953">
            <w:pPr>
              <w:spacing w:line="500" w:lineRule="exact"/>
              <w:jc w:val="center"/>
              <w:rPr>
                <w:rFonts w:ascii="黑体" w:hAnsi="黑体" w:eastAsia="黑体" w:cs="黑体"/>
                <w:sz w:val="24"/>
                <w:highlight w:val="none"/>
                <w:u w:val="none"/>
                <w:lang w:val="zh-CN"/>
              </w:rPr>
            </w:pPr>
            <w:r>
              <w:rPr>
                <w:rFonts w:hint="eastAsia" w:ascii="黑体" w:hAnsi="黑体" w:eastAsia="黑体" w:cs="黑体"/>
                <w:sz w:val="24"/>
                <w:highlight w:val="none"/>
                <w:u w:val="none"/>
                <w:lang w:val="zh-CN"/>
              </w:rPr>
              <w:t>认缴出资总额</w:t>
            </w:r>
          </w:p>
        </w:tc>
        <w:tc>
          <w:tcPr>
            <w:tcW w:w="3209" w:type="dxa"/>
            <w:gridSpan w:val="2"/>
            <w:shd w:val="clear" w:color="000000" w:fill="FFFFFF"/>
            <w:vAlign w:val="center"/>
          </w:tcPr>
          <w:p w14:paraId="44DBFBA4">
            <w:pPr>
              <w:ind w:firstLine="480"/>
              <w:jc w:val="center"/>
              <w:rPr>
                <w:rFonts w:ascii="黑体" w:hAnsi="黑体" w:eastAsia="黑体" w:cs="黑体"/>
                <w:sz w:val="24"/>
                <w:highlight w:val="none"/>
                <w:u w:val="none"/>
                <w:lang w:val="zh-CN"/>
              </w:rPr>
            </w:pPr>
            <w:r>
              <w:rPr>
                <w:rFonts w:hint="eastAsia" w:ascii="黑体" w:hAnsi="黑体" w:eastAsia="黑体" w:cs="黑体"/>
                <w:sz w:val="24"/>
                <w:highlight w:val="none"/>
                <w:u w:val="none"/>
              </w:rPr>
              <w:t xml:space="preserve">        </w:t>
            </w:r>
            <w:r>
              <w:rPr>
                <w:rFonts w:hint="eastAsia" w:ascii="黑体" w:hAnsi="黑体" w:eastAsia="黑体" w:cs="黑体"/>
                <w:sz w:val="24"/>
                <w:highlight w:val="none"/>
                <w:u w:val="none"/>
                <w:lang w:val="zh-CN"/>
              </w:rPr>
              <w:t>万元</w:t>
            </w:r>
          </w:p>
        </w:tc>
        <w:tc>
          <w:tcPr>
            <w:tcW w:w="2025" w:type="dxa"/>
            <w:shd w:val="clear" w:color="000000" w:fill="FFFFFF"/>
            <w:vAlign w:val="center"/>
          </w:tcPr>
          <w:p w14:paraId="1D60EB46">
            <w:pPr>
              <w:jc w:val="center"/>
              <w:rPr>
                <w:rFonts w:ascii="黑体" w:hAnsi="黑体" w:eastAsia="黑体" w:cs="黑体"/>
                <w:sz w:val="24"/>
                <w:highlight w:val="none"/>
                <w:u w:val="none"/>
                <w:lang w:val="zh-CN"/>
              </w:rPr>
            </w:pPr>
            <w:r>
              <w:rPr>
                <w:rFonts w:hint="eastAsia" w:ascii="黑体" w:hAnsi="黑体" w:eastAsia="黑体" w:cs="黑体"/>
                <w:sz w:val="24"/>
                <w:highlight w:val="none"/>
                <w:u w:val="none"/>
                <w:lang w:val="zh-CN"/>
              </w:rPr>
              <w:t>实缴资本</w:t>
            </w:r>
          </w:p>
        </w:tc>
        <w:tc>
          <w:tcPr>
            <w:tcW w:w="2713" w:type="dxa"/>
            <w:shd w:val="clear" w:color="000000" w:fill="FFFFFF"/>
            <w:vAlign w:val="center"/>
          </w:tcPr>
          <w:p w14:paraId="14E8DE89">
            <w:pPr>
              <w:ind w:firstLine="480"/>
              <w:jc w:val="center"/>
              <w:rPr>
                <w:rFonts w:ascii="黑体" w:hAnsi="黑体" w:eastAsia="黑体" w:cs="黑体"/>
                <w:sz w:val="24"/>
                <w:highlight w:val="none"/>
                <w:u w:val="none"/>
                <w:lang w:val="zh-CN"/>
              </w:rPr>
            </w:pPr>
            <w:r>
              <w:rPr>
                <w:rFonts w:hint="eastAsia" w:ascii="黑体" w:hAnsi="黑体" w:eastAsia="黑体" w:cs="黑体"/>
                <w:sz w:val="24"/>
                <w:highlight w:val="none"/>
                <w:u w:val="none"/>
              </w:rPr>
              <w:t xml:space="preserve">      </w:t>
            </w:r>
            <w:r>
              <w:rPr>
                <w:rFonts w:hint="eastAsia" w:ascii="黑体" w:hAnsi="黑体" w:eastAsia="黑体" w:cs="黑体"/>
                <w:sz w:val="24"/>
                <w:highlight w:val="none"/>
                <w:u w:val="none"/>
                <w:lang w:val="zh-CN"/>
              </w:rPr>
              <w:t>万元</w:t>
            </w:r>
          </w:p>
        </w:tc>
      </w:tr>
      <w:tr w14:paraId="539C2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1716" w:type="dxa"/>
            <w:shd w:val="clear" w:color="000000" w:fill="FFFFFF"/>
            <w:vAlign w:val="center"/>
          </w:tcPr>
          <w:p w14:paraId="4C424D33">
            <w:pPr>
              <w:spacing w:line="500" w:lineRule="exact"/>
              <w:jc w:val="center"/>
              <w:rPr>
                <w:rFonts w:ascii="黑体" w:hAnsi="黑体" w:eastAsia="黑体" w:cs="黑体"/>
                <w:sz w:val="24"/>
                <w:highlight w:val="none"/>
                <w:u w:val="none"/>
                <w:lang w:val="zh-CN"/>
              </w:rPr>
            </w:pPr>
            <w:r>
              <w:rPr>
                <w:rFonts w:hint="eastAsia" w:ascii="黑体" w:hAnsi="黑体" w:eastAsia="黑体" w:cs="黑体"/>
                <w:sz w:val="24"/>
                <w:highlight w:val="none"/>
                <w:u w:val="none"/>
                <w:lang w:val="zh-CN"/>
              </w:rPr>
              <w:t>管理人登记</w:t>
            </w:r>
          </w:p>
          <w:p w14:paraId="7A31C6C3">
            <w:pPr>
              <w:spacing w:line="500" w:lineRule="exact"/>
              <w:jc w:val="center"/>
              <w:rPr>
                <w:rFonts w:ascii="黑体" w:hAnsi="黑体" w:eastAsia="黑体" w:cs="黑体"/>
                <w:sz w:val="24"/>
                <w:highlight w:val="none"/>
                <w:u w:val="none"/>
              </w:rPr>
            </w:pPr>
            <w:r>
              <w:rPr>
                <w:rFonts w:hint="eastAsia" w:ascii="黑体" w:hAnsi="黑体" w:eastAsia="黑体" w:cs="黑体"/>
                <w:sz w:val="24"/>
                <w:highlight w:val="none"/>
                <w:u w:val="none"/>
                <w:lang w:val="zh-CN"/>
              </w:rPr>
              <w:t>备案号</w:t>
            </w:r>
          </w:p>
        </w:tc>
        <w:tc>
          <w:tcPr>
            <w:tcW w:w="3209" w:type="dxa"/>
            <w:gridSpan w:val="2"/>
            <w:shd w:val="clear" w:color="000000" w:fill="FFFFFF"/>
            <w:vAlign w:val="center"/>
          </w:tcPr>
          <w:p w14:paraId="6174D606">
            <w:pPr>
              <w:ind w:firstLine="480"/>
              <w:jc w:val="center"/>
              <w:rPr>
                <w:rFonts w:ascii="黑体" w:hAnsi="黑体" w:eastAsia="黑体" w:cs="黑体"/>
                <w:sz w:val="24"/>
                <w:highlight w:val="none"/>
                <w:u w:val="none"/>
              </w:rPr>
            </w:pPr>
          </w:p>
        </w:tc>
        <w:tc>
          <w:tcPr>
            <w:tcW w:w="2025" w:type="dxa"/>
            <w:shd w:val="clear" w:color="000000" w:fill="FFFFFF"/>
            <w:vAlign w:val="center"/>
          </w:tcPr>
          <w:p w14:paraId="6C48F824">
            <w:pPr>
              <w:jc w:val="center"/>
              <w:rPr>
                <w:rFonts w:ascii="黑体" w:hAnsi="黑体" w:eastAsia="黑体" w:cs="黑体"/>
                <w:sz w:val="24"/>
                <w:highlight w:val="none"/>
                <w:u w:val="none"/>
              </w:rPr>
            </w:pPr>
            <w:r>
              <w:rPr>
                <w:rFonts w:hint="eastAsia" w:ascii="黑体" w:hAnsi="黑体" w:eastAsia="黑体" w:cs="黑体"/>
                <w:sz w:val="24"/>
                <w:highlight w:val="none"/>
                <w:u w:val="none"/>
              </w:rPr>
              <w:t>在岗职工人数</w:t>
            </w:r>
          </w:p>
        </w:tc>
        <w:tc>
          <w:tcPr>
            <w:tcW w:w="2713" w:type="dxa"/>
            <w:shd w:val="clear" w:color="000000" w:fill="FFFFFF"/>
            <w:vAlign w:val="center"/>
          </w:tcPr>
          <w:p w14:paraId="32404F18">
            <w:pPr>
              <w:ind w:firstLine="480"/>
              <w:jc w:val="center"/>
              <w:rPr>
                <w:rFonts w:ascii="黑体" w:hAnsi="黑体" w:eastAsia="黑体" w:cs="黑体"/>
                <w:sz w:val="24"/>
                <w:highlight w:val="none"/>
                <w:u w:val="none"/>
              </w:rPr>
            </w:pPr>
          </w:p>
        </w:tc>
      </w:tr>
      <w:tr w14:paraId="6E5B9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1716" w:type="dxa"/>
            <w:vMerge w:val="restart"/>
            <w:shd w:val="clear" w:color="000000" w:fill="FFFFFF"/>
            <w:vAlign w:val="center"/>
          </w:tcPr>
          <w:p w14:paraId="6C52D099">
            <w:pPr>
              <w:jc w:val="center"/>
              <w:rPr>
                <w:rFonts w:ascii="黑体" w:hAnsi="黑体" w:eastAsia="黑体" w:cs="黑体"/>
                <w:sz w:val="24"/>
                <w:highlight w:val="none"/>
                <w:u w:val="none"/>
                <w:lang w:val="zh-CN"/>
              </w:rPr>
            </w:pPr>
            <w:r>
              <w:rPr>
                <w:rFonts w:hint="eastAsia" w:ascii="黑体" w:hAnsi="黑体" w:eastAsia="黑体" w:cs="黑体"/>
                <w:sz w:val="24"/>
                <w:highlight w:val="none"/>
                <w:u w:val="none"/>
                <w:lang w:val="zh-CN"/>
              </w:rPr>
              <w:t>联系人</w:t>
            </w:r>
          </w:p>
        </w:tc>
        <w:tc>
          <w:tcPr>
            <w:tcW w:w="1225" w:type="dxa"/>
            <w:shd w:val="clear" w:color="000000" w:fill="FFFFFF"/>
            <w:vAlign w:val="center"/>
          </w:tcPr>
          <w:p w14:paraId="0B85C5EF">
            <w:pPr>
              <w:jc w:val="center"/>
              <w:rPr>
                <w:rFonts w:ascii="黑体" w:hAnsi="黑体" w:eastAsia="黑体" w:cs="黑体"/>
                <w:sz w:val="24"/>
                <w:highlight w:val="none"/>
                <w:u w:val="none"/>
                <w:lang w:val="zh-CN"/>
              </w:rPr>
            </w:pPr>
            <w:r>
              <w:rPr>
                <w:rFonts w:hint="eastAsia" w:ascii="黑体" w:hAnsi="黑体" w:eastAsia="黑体" w:cs="黑体"/>
                <w:sz w:val="24"/>
                <w:highlight w:val="none"/>
                <w:u w:val="none"/>
                <w:lang w:val="zh-CN"/>
              </w:rPr>
              <w:t>姓名</w:t>
            </w:r>
          </w:p>
        </w:tc>
        <w:tc>
          <w:tcPr>
            <w:tcW w:w="1984" w:type="dxa"/>
            <w:shd w:val="clear" w:color="000000" w:fill="FFFFFF"/>
            <w:vAlign w:val="center"/>
          </w:tcPr>
          <w:p w14:paraId="3CFBC961">
            <w:pPr>
              <w:ind w:firstLine="480"/>
              <w:jc w:val="center"/>
              <w:rPr>
                <w:rFonts w:ascii="黑体" w:hAnsi="黑体" w:eastAsia="黑体" w:cs="黑体"/>
                <w:sz w:val="24"/>
                <w:highlight w:val="none"/>
                <w:u w:val="none"/>
                <w:lang w:val="zh-CN"/>
              </w:rPr>
            </w:pPr>
          </w:p>
        </w:tc>
        <w:tc>
          <w:tcPr>
            <w:tcW w:w="2025" w:type="dxa"/>
            <w:shd w:val="clear" w:color="000000" w:fill="FFFFFF"/>
            <w:vAlign w:val="center"/>
          </w:tcPr>
          <w:p w14:paraId="6BF8A19E">
            <w:pPr>
              <w:jc w:val="center"/>
              <w:rPr>
                <w:rFonts w:ascii="黑体" w:hAnsi="黑体" w:eastAsia="黑体" w:cs="黑体"/>
                <w:sz w:val="24"/>
                <w:highlight w:val="none"/>
                <w:u w:val="none"/>
                <w:lang w:val="zh-CN"/>
              </w:rPr>
            </w:pPr>
            <w:r>
              <w:rPr>
                <w:rFonts w:hint="eastAsia" w:ascii="黑体" w:hAnsi="黑体" w:eastAsia="黑体" w:cs="黑体"/>
                <w:sz w:val="24"/>
                <w:highlight w:val="none"/>
                <w:u w:val="none"/>
                <w:lang w:val="zh-CN"/>
              </w:rPr>
              <w:t>职务</w:t>
            </w:r>
          </w:p>
        </w:tc>
        <w:tc>
          <w:tcPr>
            <w:tcW w:w="2713" w:type="dxa"/>
            <w:shd w:val="clear" w:color="000000" w:fill="FFFFFF"/>
            <w:vAlign w:val="center"/>
          </w:tcPr>
          <w:p w14:paraId="47B7BA08">
            <w:pPr>
              <w:ind w:firstLine="480"/>
              <w:jc w:val="center"/>
              <w:rPr>
                <w:rFonts w:ascii="黑体" w:hAnsi="黑体" w:eastAsia="黑体" w:cs="黑体"/>
                <w:sz w:val="24"/>
                <w:highlight w:val="none"/>
                <w:u w:val="none"/>
                <w:lang w:val="zh-CN"/>
              </w:rPr>
            </w:pPr>
          </w:p>
        </w:tc>
      </w:tr>
      <w:tr w14:paraId="67C7E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1716" w:type="dxa"/>
            <w:vMerge w:val="continue"/>
            <w:shd w:val="clear" w:color="000000" w:fill="FFFFFF"/>
            <w:vAlign w:val="center"/>
          </w:tcPr>
          <w:p w14:paraId="7CA53CA8">
            <w:pPr>
              <w:ind w:firstLine="480"/>
              <w:jc w:val="center"/>
              <w:rPr>
                <w:rFonts w:ascii="黑体" w:hAnsi="黑体" w:eastAsia="黑体" w:cs="黑体"/>
                <w:sz w:val="24"/>
                <w:highlight w:val="none"/>
                <w:u w:val="none"/>
                <w:lang w:val="zh-CN"/>
              </w:rPr>
            </w:pPr>
          </w:p>
        </w:tc>
        <w:tc>
          <w:tcPr>
            <w:tcW w:w="1225" w:type="dxa"/>
            <w:shd w:val="clear" w:color="000000" w:fill="FFFFFF"/>
            <w:vAlign w:val="center"/>
          </w:tcPr>
          <w:p w14:paraId="7665DC54">
            <w:pPr>
              <w:jc w:val="center"/>
              <w:rPr>
                <w:rFonts w:ascii="黑体" w:hAnsi="黑体" w:eastAsia="黑体" w:cs="黑体"/>
                <w:sz w:val="24"/>
                <w:highlight w:val="none"/>
                <w:u w:val="none"/>
                <w:lang w:val="zh-CN"/>
              </w:rPr>
            </w:pPr>
            <w:r>
              <w:rPr>
                <w:rFonts w:hint="eastAsia" w:ascii="黑体" w:hAnsi="黑体" w:eastAsia="黑体" w:cs="黑体"/>
                <w:sz w:val="24"/>
                <w:highlight w:val="none"/>
                <w:u w:val="none"/>
                <w:lang w:val="zh-CN"/>
              </w:rPr>
              <w:t>办公电话</w:t>
            </w:r>
          </w:p>
        </w:tc>
        <w:tc>
          <w:tcPr>
            <w:tcW w:w="1984" w:type="dxa"/>
            <w:shd w:val="clear" w:color="000000" w:fill="FFFFFF"/>
            <w:vAlign w:val="center"/>
          </w:tcPr>
          <w:p w14:paraId="0D1B39DC">
            <w:pPr>
              <w:ind w:firstLine="480"/>
              <w:jc w:val="center"/>
              <w:rPr>
                <w:rFonts w:ascii="黑体" w:hAnsi="黑体" w:eastAsia="黑体" w:cs="黑体"/>
                <w:sz w:val="24"/>
                <w:highlight w:val="none"/>
                <w:u w:val="none"/>
                <w:lang w:val="zh-CN"/>
              </w:rPr>
            </w:pPr>
          </w:p>
        </w:tc>
        <w:tc>
          <w:tcPr>
            <w:tcW w:w="2025" w:type="dxa"/>
            <w:shd w:val="clear" w:color="000000" w:fill="FFFFFF"/>
            <w:vAlign w:val="center"/>
          </w:tcPr>
          <w:p w14:paraId="737F02D8">
            <w:pPr>
              <w:jc w:val="center"/>
              <w:rPr>
                <w:rFonts w:ascii="黑体" w:hAnsi="黑体" w:eastAsia="黑体" w:cs="黑体"/>
                <w:sz w:val="24"/>
                <w:highlight w:val="none"/>
                <w:u w:val="none"/>
                <w:lang w:val="zh-CN"/>
              </w:rPr>
            </w:pPr>
            <w:r>
              <w:rPr>
                <w:rFonts w:hint="eastAsia" w:ascii="黑体" w:hAnsi="黑体" w:eastAsia="黑体" w:cs="黑体"/>
                <w:sz w:val="24"/>
                <w:highlight w:val="none"/>
                <w:u w:val="none"/>
                <w:lang w:val="zh-CN"/>
              </w:rPr>
              <w:t>手机</w:t>
            </w:r>
          </w:p>
        </w:tc>
        <w:tc>
          <w:tcPr>
            <w:tcW w:w="2713" w:type="dxa"/>
            <w:shd w:val="clear" w:color="000000" w:fill="FFFFFF"/>
            <w:vAlign w:val="center"/>
          </w:tcPr>
          <w:p w14:paraId="5BB4890C">
            <w:pPr>
              <w:ind w:firstLine="480"/>
              <w:jc w:val="center"/>
              <w:rPr>
                <w:rFonts w:ascii="黑体" w:hAnsi="黑体" w:eastAsia="黑体" w:cs="黑体"/>
                <w:sz w:val="24"/>
                <w:highlight w:val="none"/>
                <w:u w:val="none"/>
                <w:lang w:val="zh-CN"/>
              </w:rPr>
            </w:pPr>
          </w:p>
        </w:tc>
      </w:tr>
      <w:tr w14:paraId="08EC8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16" w:type="dxa"/>
            <w:vMerge w:val="continue"/>
            <w:shd w:val="clear" w:color="000000" w:fill="FFFFFF"/>
            <w:vAlign w:val="center"/>
          </w:tcPr>
          <w:p w14:paraId="62A59875">
            <w:pPr>
              <w:ind w:firstLine="480"/>
              <w:jc w:val="center"/>
              <w:rPr>
                <w:rFonts w:ascii="黑体" w:hAnsi="黑体" w:eastAsia="黑体" w:cs="黑体"/>
                <w:sz w:val="24"/>
                <w:highlight w:val="none"/>
                <w:u w:val="none"/>
                <w:lang w:val="zh-CN"/>
              </w:rPr>
            </w:pPr>
          </w:p>
        </w:tc>
        <w:tc>
          <w:tcPr>
            <w:tcW w:w="1225" w:type="dxa"/>
            <w:shd w:val="clear" w:color="000000" w:fill="FFFFFF"/>
            <w:vAlign w:val="center"/>
          </w:tcPr>
          <w:p w14:paraId="786EDD12">
            <w:pPr>
              <w:jc w:val="center"/>
              <w:rPr>
                <w:rFonts w:ascii="黑体" w:hAnsi="黑体" w:eastAsia="黑体" w:cs="黑体"/>
                <w:sz w:val="24"/>
                <w:highlight w:val="none"/>
                <w:u w:val="none"/>
                <w:lang w:val="zh-CN"/>
              </w:rPr>
            </w:pPr>
            <w:r>
              <w:rPr>
                <w:rFonts w:hint="eastAsia" w:ascii="黑体" w:hAnsi="黑体" w:eastAsia="黑体" w:cs="黑体"/>
                <w:sz w:val="24"/>
                <w:highlight w:val="none"/>
                <w:u w:val="none"/>
                <w:lang w:val="zh-CN"/>
              </w:rPr>
              <w:t>传真</w:t>
            </w:r>
          </w:p>
        </w:tc>
        <w:tc>
          <w:tcPr>
            <w:tcW w:w="1984" w:type="dxa"/>
            <w:shd w:val="clear" w:color="000000" w:fill="FFFFFF"/>
            <w:vAlign w:val="center"/>
          </w:tcPr>
          <w:p w14:paraId="4BE42146">
            <w:pPr>
              <w:ind w:firstLine="480"/>
              <w:jc w:val="center"/>
              <w:rPr>
                <w:rFonts w:ascii="黑体" w:hAnsi="黑体" w:eastAsia="黑体" w:cs="黑体"/>
                <w:sz w:val="24"/>
                <w:highlight w:val="none"/>
                <w:u w:val="none"/>
                <w:lang w:val="zh-CN"/>
              </w:rPr>
            </w:pPr>
          </w:p>
        </w:tc>
        <w:tc>
          <w:tcPr>
            <w:tcW w:w="2025" w:type="dxa"/>
            <w:shd w:val="clear" w:color="000000" w:fill="FFFFFF"/>
            <w:vAlign w:val="center"/>
          </w:tcPr>
          <w:p w14:paraId="631FB823">
            <w:pPr>
              <w:jc w:val="center"/>
              <w:rPr>
                <w:rFonts w:ascii="黑体" w:hAnsi="黑体" w:eastAsia="黑体" w:cs="黑体"/>
                <w:sz w:val="24"/>
                <w:highlight w:val="none"/>
                <w:u w:val="none"/>
                <w:lang w:val="zh-CN"/>
              </w:rPr>
            </w:pPr>
            <w:r>
              <w:rPr>
                <w:rFonts w:hint="eastAsia" w:ascii="黑体" w:hAnsi="黑体" w:eastAsia="黑体" w:cs="黑体"/>
                <w:sz w:val="24"/>
                <w:highlight w:val="none"/>
                <w:u w:val="none"/>
                <w:lang w:val="zh-CN"/>
              </w:rPr>
              <w:t>电子邮箱</w:t>
            </w:r>
          </w:p>
        </w:tc>
        <w:tc>
          <w:tcPr>
            <w:tcW w:w="2713" w:type="dxa"/>
            <w:shd w:val="clear" w:color="000000" w:fill="FFFFFF"/>
            <w:vAlign w:val="center"/>
          </w:tcPr>
          <w:p w14:paraId="2F959BC6">
            <w:pPr>
              <w:ind w:firstLine="480"/>
              <w:jc w:val="center"/>
              <w:rPr>
                <w:rFonts w:ascii="黑体" w:hAnsi="黑体" w:eastAsia="黑体" w:cs="黑体"/>
                <w:sz w:val="24"/>
                <w:highlight w:val="none"/>
                <w:u w:val="none"/>
                <w:lang w:val="zh-CN"/>
              </w:rPr>
            </w:pPr>
          </w:p>
        </w:tc>
      </w:tr>
      <w:tr w14:paraId="4ED1C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716" w:type="dxa"/>
            <w:vMerge w:val="continue"/>
            <w:shd w:val="clear" w:color="000000" w:fill="FFFFFF"/>
            <w:vAlign w:val="center"/>
          </w:tcPr>
          <w:p w14:paraId="0F22A498">
            <w:pPr>
              <w:ind w:firstLine="480"/>
              <w:jc w:val="center"/>
              <w:rPr>
                <w:rFonts w:ascii="黑体" w:hAnsi="黑体" w:eastAsia="黑体" w:cs="黑体"/>
                <w:sz w:val="24"/>
                <w:highlight w:val="none"/>
                <w:u w:val="none"/>
                <w:lang w:val="zh-CN"/>
              </w:rPr>
            </w:pPr>
          </w:p>
        </w:tc>
        <w:tc>
          <w:tcPr>
            <w:tcW w:w="1225" w:type="dxa"/>
            <w:shd w:val="clear" w:color="000000" w:fill="FFFFFF"/>
            <w:vAlign w:val="center"/>
          </w:tcPr>
          <w:p w14:paraId="3385EC70">
            <w:pPr>
              <w:jc w:val="center"/>
              <w:rPr>
                <w:rFonts w:ascii="黑体" w:hAnsi="黑体" w:eastAsia="黑体" w:cs="黑体"/>
                <w:sz w:val="24"/>
                <w:highlight w:val="none"/>
                <w:u w:val="none"/>
                <w:lang w:val="zh-CN"/>
              </w:rPr>
            </w:pPr>
            <w:r>
              <w:rPr>
                <w:rFonts w:hint="eastAsia" w:ascii="黑体" w:hAnsi="黑体" w:eastAsia="黑体" w:cs="黑体"/>
                <w:sz w:val="24"/>
                <w:highlight w:val="none"/>
                <w:u w:val="none"/>
                <w:lang w:val="zh-CN"/>
              </w:rPr>
              <w:t>通信地址</w:t>
            </w:r>
          </w:p>
        </w:tc>
        <w:tc>
          <w:tcPr>
            <w:tcW w:w="1984" w:type="dxa"/>
            <w:shd w:val="clear" w:color="000000" w:fill="FFFFFF"/>
            <w:vAlign w:val="center"/>
          </w:tcPr>
          <w:p w14:paraId="471E0089">
            <w:pPr>
              <w:ind w:firstLine="480"/>
              <w:jc w:val="center"/>
              <w:rPr>
                <w:rFonts w:ascii="黑体" w:hAnsi="黑体" w:eastAsia="黑体" w:cs="黑体"/>
                <w:sz w:val="24"/>
                <w:highlight w:val="none"/>
                <w:u w:val="none"/>
                <w:lang w:val="zh-CN"/>
              </w:rPr>
            </w:pPr>
          </w:p>
        </w:tc>
        <w:tc>
          <w:tcPr>
            <w:tcW w:w="2025" w:type="dxa"/>
            <w:shd w:val="clear" w:color="000000" w:fill="FFFFFF"/>
            <w:vAlign w:val="center"/>
          </w:tcPr>
          <w:p w14:paraId="16D9F936">
            <w:pPr>
              <w:jc w:val="center"/>
              <w:rPr>
                <w:rFonts w:ascii="黑体" w:hAnsi="黑体" w:eastAsia="黑体" w:cs="黑体"/>
                <w:sz w:val="24"/>
                <w:highlight w:val="none"/>
                <w:u w:val="none"/>
                <w:lang w:val="zh-CN"/>
              </w:rPr>
            </w:pPr>
            <w:r>
              <w:rPr>
                <w:rFonts w:hint="eastAsia" w:ascii="黑体" w:hAnsi="黑体" w:eastAsia="黑体" w:cs="黑体"/>
                <w:sz w:val="24"/>
                <w:highlight w:val="none"/>
                <w:u w:val="none"/>
                <w:lang w:val="zh-CN"/>
              </w:rPr>
              <w:t>邮政编码</w:t>
            </w:r>
          </w:p>
        </w:tc>
        <w:tc>
          <w:tcPr>
            <w:tcW w:w="2713" w:type="dxa"/>
            <w:shd w:val="clear" w:color="000000" w:fill="FFFFFF"/>
            <w:vAlign w:val="center"/>
          </w:tcPr>
          <w:p w14:paraId="2729AE63">
            <w:pPr>
              <w:ind w:firstLine="480"/>
              <w:jc w:val="center"/>
              <w:rPr>
                <w:rFonts w:ascii="黑体" w:hAnsi="黑体" w:eastAsia="黑体" w:cs="黑体"/>
                <w:sz w:val="24"/>
                <w:highlight w:val="none"/>
                <w:u w:val="none"/>
                <w:lang w:val="zh-CN"/>
              </w:rPr>
            </w:pPr>
          </w:p>
        </w:tc>
      </w:tr>
      <w:tr w14:paraId="37E69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rPr>
        <w:tc>
          <w:tcPr>
            <w:tcW w:w="1716" w:type="dxa"/>
            <w:vMerge w:val="restart"/>
            <w:shd w:val="clear" w:color="000000" w:fill="FFFFFF"/>
            <w:vAlign w:val="center"/>
          </w:tcPr>
          <w:p w14:paraId="733791A6">
            <w:pPr>
              <w:jc w:val="center"/>
              <w:rPr>
                <w:rFonts w:ascii="黑体" w:hAnsi="黑体" w:eastAsia="黑体" w:cs="黑体"/>
                <w:sz w:val="24"/>
                <w:highlight w:val="none"/>
                <w:u w:val="none"/>
              </w:rPr>
            </w:pPr>
            <w:r>
              <w:rPr>
                <w:rFonts w:hint="eastAsia" w:ascii="黑体" w:hAnsi="黑体" w:eastAsia="黑体" w:cs="黑体"/>
                <w:sz w:val="24"/>
                <w:highlight w:val="none"/>
                <w:u w:val="none"/>
              </w:rPr>
              <w:t>股东</w:t>
            </w:r>
            <w:r>
              <w:rPr>
                <w:rFonts w:hint="eastAsia" w:ascii="黑体" w:hAnsi="黑体" w:eastAsia="黑体" w:cs="黑体"/>
                <w:sz w:val="24"/>
                <w:highlight w:val="none"/>
                <w:u w:val="none"/>
                <w:lang w:val="en-US" w:eastAsia="zh-CN"/>
              </w:rPr>
              <w:t>/合伙人</w:t>
            </w:r>
            <w:r>
              <w:rPr>
                <w:rFonts w:hint="eastAsia" w:ascii="黑体" w:hAnsi="黑体" w:eastAsia="黑体" w:cs="黑体"/>
                <w:sz w:val="24"/>
                <w:highlight w:val="none"/>
                <w:u w:val="none"/>
              </w:rPr>
              <w:t>信息</w:t>
            </w:r>
          </w:p>
        </w:tc>
        <w:tc>
          <w:tcPr>
            <w:tcW w:w="3209" w:type="dxa"/>
            <w:gridSpan w:val="2"/>
            <w:shd w:val="clear" w:color="000000" w:fill="FFFFFF"/>
            <w:vAlign w:val="center"/>
          </w:tcPr>
          <w:p w14:paraId="0081F44F">
            <w:pPr>
              <w:jc w:val="center"/>
              <w:rPr>
                <w:rFonts w:ascii="黑体" w:hAnsi="黑体" w:eastAsia="黑体" w:cs="黑体"/>
                <w:sz w:val="24"/>
                <w:highlight w:val="none"/>
                <w:u w:val="none"/>
              </w:rPr>
            </w:pPr>
            <w:r>
              <w:rPr>
                <w:rFonts w:hint="eastAsia" w:ascii="黑体" w:hAnsi="黑体" w:eastAsia="黑体" w:cs="黑体"/>
                <w:sz w:val="24"/>
                <w:highlight w:val="none"/>
                <w:u w:val="none"/>
              </w:rPr>
              <w:t>股东</w:t>
            </w:r>
            <w:r>
              <w:rPr>
                <w:rFonts w:hint="eastAsia" w:ascii="黑体" w:hAnsi="黑体" w:eastAsia="黑体" w:cs="黑体"/>
                <w:sz w:val="24"/>
                <w:highlight w:val="none"/>
                <w:u w:val="none"/>
                <w:lang w:val="en-US" w:eastAsia="zh-CN"/>
              </w:rPr>
              <w:t>/合伙人</w:t>
            </w:r>
            <w:r>
              <w:rPr>
                <w:rFonts w:hint="eastAsia" w:ascii="黑体" w:hAnsi="黑体" w:eastAsia="黑体" w:cs="黑体"/>
                <w:sz w:val="24"/>
                <w:highlight w:val="none"/>
                <w:u w:val="none"/>
              </w:rPr>
              <w:t>名称</w:t>
            </w:r>
          </w:p>
        </w:tc>
        <w:tc>
          <w:tcPr>
            <w:tcW w:w="2025" w:type="dxa"/>
            <w:shd w:val="clear" w:color="000000" w:fill="FFFFFF"/>
            <w:vAlign w:val="center"/>
          </w:tcPr>
          <w:p w14:paraId="1CADDB53">
            <w:pPr>
              <w:jc w:val="center"/>
              <w:rPr>
                <w:rFonts w:ascii="黑体" w:hAnsi="黑体" w:eastAsia="黑体" w:cs="黑体"/>
                <w:sz w:val="24"/>
                <w:highlight w:val="none"/>
                <w:u w:val="none"/>
              </w:rPr>
            </w:pPr>
            <w:r>
              <w:rPr>
                <w:rFonts w:hint="eastAsia" w:ascii="黑体" w:hAnsi="黑体" w:eastAsia="黑体" w:cs="黑体"/>
                <w:sz w:val="24"/>
                <w:highlight w:val="none"/>
                <w:u w:val="none"/>
              </w:rPr>
              <w:t>企业性质</w:t>
            </w:r>
          </w:p>
        </w:tc>
        <w:tc>
          <w:tcPr>
            <w:tcW w:w="2713" w:type="dxa"/>
            <w:shd w:val="clear" w:color="000000" w:fill="FFFFFF"/>
            <w:vAlign w:val="center"/>
          </w:tcPr>
          <w:p w14:paraId="0B1B1E19">
            <w:pPr>
              <w:jc w:val="center"/>
              <w:rPr>
                <w:rFonts w:ascii="黑体" w:hAnsi="黑体" w:eastAsia="黑体" w:cs="黑体"/>
                <w:sz w:val="24"/>
                <w:highlight w:val="none"/>
                <w:u w:val="none"/>
              </w:rPr>
            </w:pPr>
            <w:r>
              <w:rPr>
                <w:rFonts w:hint="eastAsia" w:ascii="黑体" w:hAnsi="黑体" w:eastAsia="黑体" w:cs="黑体"/>
                <w:sz w:val="24"/>
                <w:highlight w:val="none"/>
                <w:u w:val="none"/>
              </w:rPr>
              <w:t>持股比例</w:t>
            </w:r>
          </w:p>
        </w:tc>
      </w:tr>
      <w:tr w14:paraId="71B0A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rPr>
        <w:tc>
          <w:tcPr>
            <w:tcW w:w="1716" w:type="dxa"/>
            <w:vMerge w:val="continue"/>
            <w:shd w:val="clear" w:color="000000" w:fill="FFFFFF"/>
            <w:vAlign w:val="center"/>
          </w:tcPr>
          <w:p w14:paraId="14D0ED90">
            <w:pPr>
              <w:ind w:firstLine="480"/>
              <w:jc w:val="center"/>
              <w:rPr>
                <w:rFonts w:ascii="黑体" w:hAnsi="黑体" w:eastAsia="黑体" w:cs="黑体"/>
                <w:sz w:val="24"/>
                <w:highlight w:val="none"/>
                <w:u w:val="none"/>
                <w:lang w:val="zh-CN"/>
              </w:rPr>
            </w:pPr>
          </w:p>
        </w:tc>
        <w:tc>
          <w:tcPr>
            <w:tcW w:w="3209" w:type="dxa"/>
            <w:gridSpan w:val="2"/>
            <w:shd w:val="clear" w:color="000000" w:fill="FFFFFF"/>
            <w:vAlign w:val="center"/>
          </w:tcPr>
          <w:p w14:paraId="379D92E3">
            <w:pPr>
              <w:ind w:firstLine="480"/>
              <w:jc w:val="center"/>
              <w:rPr>
                <w:rFonts w:ascii="黑体" w:hAnsi="黑体" w:eastAsia="黑体" w:cs="黑体"/>
                <w:sz w:val="24"/>
                <w:highlight w:val="none"/>
                <w:u w:val="none"/>
                <w:lang w:val="zh-CN"/>
              </w:rPr>
            </w:pPr>
          </w:p>
        </w:tc>
        <w:tc>
          <w:tcPr>
            <w:tcW w:w="2025" w:type="dxa"/>
            <w:shd w:val="clear" w:color="000000" w:fill="FFFFFF"/>
            <w:vAlign w:val="center"/>
          </w:tcPr>
          <w:p w14:paraId="50609D0F">
            <w:pPr>
              <w:ind w:firstLine="480"/>
              <w:jc w:val="center"/>
              <w:rPr>
                <w:rFonts w:ascii="黑体" w:hAnsi="黑体" w:eastAsia="黑体" w:cs="黑体"/>
                <w:sz w:val="24"/>
                <w:highlight w:val="none"/>
                <w:u w:val="none"/>
                <w:lang w:val="zh-CN"/>
              </w:rPr>
            </w:pPr>
          </w:p>
        </w:tc>
        <w:tc>
          <w:tcPr>
            <w:tcW w:w="2713" w:type="dxa"/>
            <w:shd w:val="clear" w:color="000000" w:fill="FFFFFF"/>
            <w:vAlign w:val="center"/>
          </w:tcPr>
          <w:p w14:paraId="14785C39">
            <w:pPr>
              <w:ind w:firstLine="480"/>
              <w:jc w:val="center"/>
              <w:rPr>
                <w:rFonts w:ascii="黑体" w:hAnsi="黑体" w:eastAsia="黑体" w:cs="黑体"/>
                <w:sz w:val="24"/>
                <w:highlight w:val="none"/>
                <w:u w:val="none"/>
                <w:lang w:val="zh-CN"/>
              </w:rPr>
            </w:pPr>
          </w:p>
        </w:tc>
      </w:tr>
      <w:tr w14:paraId="5DAD2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rPr>
        <w:tc>
          <w:tcPr>
            <w:tcW w:w="1716" w:type="dxa"/>
            <w:vMerge w:val="continue"/>
            <w:shd w:val="clear" w:color="000000" w:fill="FFFFFF"/>
            <w:vAlign w:val="center"/>
          </w:tcPr>
          <w:p w14:paraId="1D8B9B1E">
            <w:pPr>
              <w:ind w:firstLine="480"/>
              <w:jc w:val="center"/>
              <w:rPr>
                <w:rFonts w:ascii="黑体" w:hAnsi="黑体" w:eastAsia="黑体" w:cs="黑体"/>
                <w:sz w:val="24"/>
                <w:highlight w:val="none"/>
                <w:u w:val="none"/>
                <w:lang w:val="zh-CN"/>
              </w:rPr>
            </w:pPr>
          </w:p>
        </w:tc>
        <w:tc>
          <w:tcPr>
            <w:tcW w:w="3209" w:type="dxa"/>
            <w:gridSpan w:val="2"/>
            <w:shd w:val="clear" w:color="000000" w:fill="FFFFFF"/>
            <w:vAlign w:val="center"/>
          </w:tcPr>
          <w:p w14:paraId="7E82F37D">
            <w:pPr>
              <w:ind w:firstLine="480"/>
              <w:jc w:val="center"/>
              <w:rPr>
                <w:rFonts w:ascii="黑体" w:hAnsi="黑体" w:eastAsia="黑体" w:cs="黑体"/>
                <w:sz w:val="24"/>
                <w:highlight w:val="none"/>
                <w:u w:val="none"/>
                <w:lang w:val="zh-CN"/>
              </w:rPr>
            </w:pPr>
          </w:p>
        </w:tc>
        <w:tc>
          <w:tcPr>
            <w:tcW w:w="2025" w:type="dxa"/>
            <w:shd w:val="clear" w:color="000000" w:fill="FFFFFF"/>
            <w:vAlign w:val="center"/>
          </w:tcPr>
          <w:p w14:paraId="17E04444">
            <w:pPr>
              <w:ind w:firstLine="480"/>
              <w:jc w:val="center"/>
              <w:rPr>
                <w:rFonts w:ascii="黑体" w:hAnsi="黑体" w:eastAsia="黑体" w:cs="黑体"/>
                <w:sz w:val="24"/>
                <w:highlight w:val="none"/>
                <w:u w:val="none"/>
                <w:lang w:val="zh-CN"/>
              </w:rPr>
            </w:pPr>
          </w:p>
        </w:tc>
        <w:tc>
          <w:tcPr>
            <w:tcW w:w="2713" w:type="dxa"/>
            <w:shd w:val="clear" w:color="000000" w:fill="FFFFFF"/>
            <w:vAlign w:val="center"/>
          </w:tcPr>
          <w:p w14:paraId="10328B47">
            <w:pPr>
              <w:ind w:firstLine="480"/>
              <w:jc w:val="center"/>
              <w:rPr>
                <w:rFonts w:ascii="黑体" w:hAnsi="黑体" w:eastAsia="黑体" w:cs="黑体"/>
                <w:sz w:val="24"/>
                <w:highlight w:val="none"/>
                <w:u w:val="none"/>
                <w:lang w:val="zh-CN"/>
              </w:rPr>
            </w:pPr>
          </w:p>
        </w:tc>
      </w:tr>
      <w:tr w14:paraId="40E64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rPr>
        <w:tc>
          <w:tcPr>
            <w:tcW w:w="1716" w:type="dxa"/>
            <w:vMerge w:val="continue"/>
            <w:shd w:val="clear" w:color="000000" w:fill="FFFFFF"/>
            <w:vAlign w:val="center"/>
          </w:tcPr>
          <w:p w14:paraId="6BFAB608">
            <w:pPr>
              <w:ind w:firstLine="480"/>
              <w:jc w:val="left"/>
              <w:rPr>
                <w:rFonts w:ascii="黑体" w:hAnsi="黑体" w:eastAsia="黑体" w:cs="黑体"/>
                <w:sz w:val="24"/>
                <w:highlight w:val="none"/>
                <w:u w:val="none"/>
                <w:lang w:val="zh-CN"/>
              </w:rPr>
            </w:pPr>
          </w:p>
        </w:tc>
        <w:tc>
          <w:tcPr>
            <w:tcW w:w="3209" w:type="dxa"/>
            <w:gridSpan w:val="2"/>
            <w:shd w:val="clear" w:color="000000" w:fill="FFFFFF"/>
            <w:vAlign w:val="center"/>
          </w:tcPr>
          <w:p w14:paraId="548B5F51">
            <w:pPr>
              <w:ind w:firstLine="480"/>
              <w:jc w:val="left"/>
              <w:rPr>
                <w:rFonts w:ascii="黑体" w:hAnsi="黑体" w:eastAsia="黑体" w:cs="黑体"/>
                <w:sz w:val="24"/>
                <w:highlight w:val="none"/>
                <w:u w:val="none"/>
                <w:lang w:val="zh-CN"/>
              </w:rPr>
            </w:pPr>
          </w:p>
        </w:tc>
        <w:tc>
          <w:tcPr>
            <w:tcW w:w="2025" w:type="dxa"/>
            <w:shd w:val="clear" w:color="000000" w:fill="FFFFFF"/>
            <w:vAlign w:val="center"/>
          </w:tcPr>
          <w:p w14:paraId="077D3BD7">
            <w:pPr>
              <w:ind w:firstLine="480"/>
              <w:jc w:val="left"/>
              <w:rPr>
                <w:rFonts w:ascii="黑体" w:hAnsi="黑体" w:eastAsia="黑体" w:cs="黑体"/>
                <w:sz w:val="24"/>
                <w:highlight w:val="none"/>
                <w:u w:val="none"/>
                <w:lang w:val="zh-CN"/>
              </w:rPr>
            </w:pPr>
          </w:p>
        </w:tc>
        <w:tc>
          <w:tcPr>
            <w:tcW w:w="2713" w:type="dxa"/>
            <w:shd w:val="clear" w:color="000000" w:fill="FFFFFF"/>
            <w:vAlign w:val="center"/>
          </w:tcPr>
          <w:p w14:paraId="3248F361">
            <w:pPr>
              <w:ind w:firstLine="480"/>
              <w:jc w:val="left"/>
              <w:rPr>
                <w:rFonts w:ascii="黑体" w:hAnsi="黑体" w:eastAsia="黑体" w:cs="黑体"/>
                <w:sz w:val="24"/>
                <w:highlight w:val="none"/>
                <w:u w:val="none"/>
                <w:lang w:val="zh-CN"/>
              </w:rPr>
            </w:pPr>
          </w:p>
        </w:tc>
      </w:tr>
      <w:tr w14:paraId="4BE99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rPr>
        <w:tc>
          <w:tcPr>
            <w:tcW w:w="1716" w:type="dxa"/>
            <w:vMerge w:val="continue"/>
            <w:shd w:val="clear" w:color="000000" w:fill="FFFFFF"/>
            <w:vAlign w:val="center"/>
          </w:tcPr>
          <w:p w14:paraId="2F6431BB">
            <w:pPr>
              <w:rPr>
                <w:highlight w:val="none"/>
                <w:u w:val="none"/>
                <w:lang w:val="zh-CN"/>
              </w:rPr>
            </w:pPr>
          </w:p>
        </w:tc>
        <w:tc>
          <w:tcPr>
            <w:tcW w:w="3209" w:type="dxa"/>
            <w:gridSpan w:val="2"/>
            <w:shd w:val="clear" w:color="000000" w:fill="FFFFFF"/>
            <w:vAlign w:val="center"/>
          </w:tcPr>
          <w:p w14:paraId="70A66641">
            <w:pPr>
              <w:rPr>
                <w:highlight w:val="none"/>
                <w:u w:val="none"/>
                <w:lang w:val="zh-CN"/>
              </w:rPr>
            </w:pPr>
          </w:p>
        </w:tc>
        <w:tc>
          <w:tcPr>
            <w:tcW w:w="2025" w:type="dxa"/>
            <w:shd w:val="clear" w:color="000000" w:fill="FFFFFF"/>
            <w:vAlign w:val="center"/>
          </w:tcPr>
          <w:p w14:paraId="5EA01FA4">
            <w:pPr>
              <w:rPr>
                <w:highlight w:val="none"/>
                <w:u w:val="none"/>
                <w:lang w:val="zh-CN"/>
              </w:rPr>
            </w:pPr>
          </w:p>
        </w:tc>
        <w:tc>
          <w:tcPr>
            <w:tcW w:w="2713" w:type="dxa"/>
            <w:shd w:val="clear" w:color="000000" w:fill="FFFFFF"/>
            <w:vAlign w:val="center"/>
          </w:tcPr>
          <w:p w14:paraId="43625404">
            <w:pPr>
              <w:rPr>
                <w:highlight w:val="none"/>
                <w:u w:val="none"/>
                <w:lang w:val="zh-CN"/>
              </w:rPr>
            </w:pPr>
          </w:p>
        </w:tc>
      </w:tr>
    </w:tbl>
    <w:p w14:paraId="0DDE799E">
      <w:pPr>
        <w:widowControl/>
        <w:jc w:val="left"/>
        <w:rPr>
          <w:highlight w:val="none"/>
          <w:u w:val="none"/>
        </w:rPr>
      </w:pPr>
      <w:r>
        <w:rPr>
          <w:highlight w:val="none"/>
          <w:u w:val="none"/>
        </w:rPr>
        <w:br w:type="page"/>
      </w:r>
    </w:p>
    <w:p w14:paraId="6A111682">
      <w:pPr>
        <w:rPr>
          <w:rFonts w:ascii="黑体" w:hAnsi="黑体" w:eastAsia="黑体" w:cs="黑体"/>
          <w:sz w:val="32"/>
          <w:szCs w:val="32"/>
          <w:highlight w:val="none"/>
          <w:u w:val="none"/>
        </w:rPr>
      </w:pPr>
      <w:r>
        <w:rPr>
          <w:rFonts w:hint="eastAsia" w:ascii="黑体" w:hAnsi="黑体" w:eastAsia="黑体" w:cs="黑体"/>
          <w:sz w:val="32"/>
          <w:szCs w:val="32"/>
          <w:highlight w:val="none"/>
          <w:u w:val="none"/>
        </w:rPr>
        <w:t>附件</w:t>
      </w:r>
      <w:r>
        <w:rPr>
          <w:rFonts w:hint="default" w:ascii="Times New Roman" w:hAnsi="Times New Roman" w:eastAsia="黑体" w:cs="Times New Roman"/>
          <w:sz w:val="32"/>
          <w:szCs w:val="32"/>
          <w:highlight w:val="none"/>
          <w:u w:val="none"/>
        </w:rPr>
        <w:t>3</w:t>
      </w:r>
    </w:p>
    <w:p w14:paraId="1738F2CE">
      <w:pPr>
        <w:pStyle w:val="2"/>
        <w:jc w:val="center"/>
        <w:rPr>
          <w:rFonts w:ascii="微软雅黑" w:hAnsi="微软雅黑" w:eastAsia="微软雅黑" w:cs="微软雅黑"/>
          <w:b w:val="0"/>
          <w:bCs w:val="0"/>
          <w:highlight w:val="none"/>
          <w:u w:val="none"/>
        </w:rPr>
      </w:pPr>
    </w:p>
    <w:p w14:paraId="5CA7BCF1">
      <w:pPr>
        <w:pStyle w:val="2"/>
        <w:jc w:val="center"/>
        <w:rPr>
          <w:rFonts w:hint="eastAsia" w:ascii="方正小标宋简体" w:hAnsi="方正小标宋简体" w:eastAsia="方正小标宋简体" w:cs="方正小标宋简体"/>
          <w:b w:val="0"/>
          <w:bCs w:val="0"/>
          <w:snapToGrid w:val="0"/>
          <w:kern w:val="0"/>
          <w:highlight w:val="none"/>
          <w:u w:val="none"/>
          <w:lang w:eastAsia="zh-CN"/>
        </w:rPr>
      </w:pPr>
      <w:r>
        <w:rPr>
          <w:rFonts w:hint="eastAsia" w:ascii="方正小标宋简体" w:hAnsi="方正小标宋简体" w:eastAsia="方正小标宋简体" w:cs="方正小标宋简体"/>
          <w:b w:val="0"/>
          <w:bCs w:val="0"/>
          <w:snapToGrid w:val="0"/>
          <w:kern w:val="0"/>
          <w:highlight w:val="none"/>
          <w:u w:val="none"/>
        </w:rPr>
        <w:t>高校科技成果转化基金管理</w:t>
      </w:r>
      <w:r>
        <w:rPr>
          <w:rFonts w:hint="eastAsia" w:ascii="方正小标宋简体" w:hAnsi="方正小标宋简体" w:eastAsia="方正小标宋简体" w:cs="方正小标宋简体"/>
          <w:b w:val="0"/>
          <w:bCs w:val="0"/>
          <w:snapToGrid w:val="0"/>
          <w:kern w:val="0"/>
          <w:highlight w:val="none"/>
          <w:u w:val="none"/>
          <w:lang w:val="en-US" w:eastAsia="zh-CN"/>
        </w:rPr>
        <w:t>机构</w:t>
      </w:r>
    </w:p>
    <w:p w14:paraId="1A5C2322">
      <w:pPr>
        <w:pStyle w:val="2"/>
        <w:jc w:val="center"/>
        <w:rPr>
          <w:rFonts w:ascii="方正小标宋简体" w:hAnsi="方正小标宋简体" w:eastAsia="方正小标宋简体" w:cs="方正小标宋简体"/>
          <w:b w:val="0"/>
          <w:bCs w:val="0"/>
          <w:highlight w:val="none"/>
          <w:u w:val="none"/>
        </w:rPr>
      </w:pPr>
      <w:r>
        <w:rPr>
          <w:rFonts w:hint="eastAsia" w:ascii="方正小标宋简体" w:hAnsi="方正小标宋简体" w:eastAsia="方正小标宋简体" w:cs="方正小标宋简体"/>
          <w:b w:val="0"/>
          <w:bCs w:val="0"/>
          <w:highlight w:val="none"/>
          <w:u w:val="none"/>
        </w:rPr>
        <w:t>申报材料</w:t>
      </w:r>
    </w:p>
    <w:p w14:paraId="69BAEE4E">
      <w:pPr>
        <w:rPr>
          <w:highlight w:val="none"/>
          <w:u w:val="none"/>
        </w:rPr>
      </w:pPr>
    </w:p>
    <w:p w14:paraId="6E008205">
      <w:pPr>
        <w:rPr>
          <w:highlight w:val="none"/>
          <w:u w:val="none"/>
        </w:rPr>
      </w:pPr>
    </w:p>
    <w:p w14:paraId="63ECAC9F">
      <w:pPr>
        <w:rPr>
          <w:highlight w:val="none"/>
          <w:u w:val="none"/>
        </w:rPr>
      </w:pPr>
    </w:p>
    <w:p w14:paraId="6F9C891F">
      <w:pPr>
        <w:rPr>
          <w:highlight w:val="none"/>
          <w:u w:val="none"/>
        </w:rPr>
      </w:pPr>
    </w:p>
    <w:p w14:paraId="19BC39E2">
      <w:pPr>
        <w:rPr>
          <w:highlight w:val="none"/>
          <w:u w:val="none"/>
        </w:rPr>
      </w:pPr>
    </w:p>
    <w:p w14:paraId="48588A2F">
      <w:pPr>
        <w:rPr>
          <w:highlight w:val="none"/>
          <w:u w:val="none"/>
        </w:rPr>
      </w:pPr>
    </w:p>
    <w:p w14:paraId="489ED9E7">
      <w:pPr>
        <w:rPr>
          <w:highlight w:val="none"/>
          <w:u w:val="none"/>
        </w:rPr>
      </w:pPr>
    </w:p>
    <w:p w14:paraId="2F67A9B4">
      <w:pPr>
        <w:ind w:firstLine="600"/>
        <w:rPr>
          <w:rFonts w:ascii="黑体" w:hAnsi="黑体" w:eastAsia="黑体" w:cs="黑体"/>
          <w:sz w:val="30"/>
          <w:szCs w:val="30"/>
          <w:highlight w:val="none"/>
          <w:u w:val="none"/>
        </w:rPr>
      </w:pPr>
      <w:r>
        <w:rPr>
          <w:rFonts w:hint="eastAsia" w:ascii="黑体" w:hAnsi="黑体" w:eastAsia="黑体" w:cs="黑体"/>
          <w:sz w:val="30"/>
          <w:szCs w:val="30"/>
          <w:highlight w:val="none"/>
          <w:u w:val="none"/>
        </w:rPr>
        <w:t>联系人：</w:t>
      </w:r>
    </w:p>
    <w:p w14:paraId="03BF2952">
      <w:pPr>
        <w:ind w:firstLine="600"/>
        <w:rPr>
          <w:rFonts w:ascii="黑体" w:hAnsi="黑体" w:eastAsia="黑体" w:cs="黑体"/>
          <w:sz w:val="30"/>
          <w:szCs w:val="30"/>
          <w:highlight w:val="none"/>
          <w:u w:val="none"/>
        </w:rPr>
      </w:pPr>
      <w:r>
        <w:rPr>
          <w:rFonts w:hint="eastAsia" w:ascii="黑体" w:hAnsi="黑体" w:eastAsia="黑体" w:cs="黑体"/>
          <w:sz w:val="30"/>
          <w:szCs w:val="30"/>
          <w:highlight w:val="none"/>
          <w:u w:val="none"/>
        </w:rPr>
        <w:t>联系电话：</w:t>
      </w:r>
    </w:p>
    <w:p w14:paraId="6C6398DA">
      <w:pPr>
        <w:ind w:firstLine="600"/>
        <w:rPr>
          <w:rFonts w:ascii="黑体" w:hAnsi="黑体" w:eastAsia="黑体" w:cs="黑体"/>
          <w:sz w:val="30"/>
          <w:szCs w:val="30"/>
          <w:highlight w:val="none"/>
          <w:u w:val="none"/>
        </w:rPr>
      </w:pPr>
      <w:r>
        <w:rPr>
          <w:rFonts w:hint="eastAsia" w:ascii="黑体" w:hAnsi="黑体" w:eastAsia="黑体" w:cs="黑体"/>
          <w:sz w:val="30"/>
          <w:szCs w:val="30"/>
          <w:highlight w:val="none"/>
          <w:u w:val="none"/>
        </w:rPr>
        <w:t>邮箱：</w:t>
      </w:r>
    </w:p>
    <w:p w14:paraId="1726A77C">
      <w:pPr>
        <w:rPr>
          <w:highlight w:val="none"/>
          <w:u w:val="none"/>
        </w:rPr>
      </w:pPr>
    </w:p>
    <w:p w14:paraId="7490F912">
      <w:pPr>
        <w:ind w:firstLine="600"/>
        <w:rPr>
          <w:rFonts w:ascii="楷体_GB2312" w:hAnsi="楷体_GB2312" w:eastAsia="楷体_GB2312" w:cs="楷体_GB2312"/>
          <w:sz w:val="30"/>
          <w:szCs w:val="30"/>
          <w:highlight w:val="none"/>
          <w:u w:val="none"/>
        </w:rPr>
      </w:pPr>
    </w:p>
    <w:p w14:paraId="0C712C67">
      <w:pPr>
        <w:ind w:firstLine="600"/>
        <w:jc w:val="center"/>
        <w:rPr>
          <w:rFonts w:ascii="楷体_GB2312" w:hAnsi="楷体_GB2312" w:eastAsia="楷体_GB2312" w:cs="楷体_GB2312"/>
          <w:sz w:val="30"/>
          <w:szCs w:val="30"/>
          <w:highlight w:val="none"/>
          <w:u w:val="none"/>
        </w:rPr>
      </w:pPr>
      <w:r>
        <w:rPr>
          <w:rFonts w:hint="eastAsia" w:ascii="楷体_GB2312" w:hAnsi="楷体_GB2312" w:eastAsia="楷体_GB2312" w:cs="楷体_GB2312"/>
          <w:sz w:val="30"/>
          <w:szCs w:val="30"/>
          <w:highlight w:val="none"/>
          <w:u w:val="none"/>
        </w:rPr>
        <w:t>申报机构：XXX公司（盖章）</w:t>
      </w:r>
    </w:p>
    <w:p w14:paraId="40DFEAF5">
      <w:pPr>
        <w:ind w:firstLine="600"/>
        <w:jc w:val="center"/>
        <w:rPr>
          <w:rFonts w:ascii="楷体_GB2312" w:hAnsi="楷体_GB2312" w:eastAsia="楷体_GB2312" w:cs="楷体_GB2312"/>
          <w:sz w:val="30"/>
          <w:szCs w:val="30"/>
          <w:highlight w:val="none"/>
          <w:u w:val="none"/>
        </w:rPr>
      </w:pPr>
      <w:r>
        <w:rPr>
          <w:rFonts w:hint="eastAsia" w:ascii="楷体_GB2312" w:hAnsi="楷体_GB2312" w:eastAsia="楷体_GB2312" w:cs="楷体_GB2312"/>
          <w:sz w:val="30"/>
          <w:szCs w:val="30"/>
          <w:highlight w:val="none"/>
          <w:u w:val="none"/>
        </w:rPr>
        <w:t>XXXX年XX月</w:t>
      </w:r>
    </w:p>
    <w:p w14:paraId="0796DF2F">
      <w:pPr>
        <w:adjustRightInd w:val="0"/>
        <w:snapToGrid w:val="0"/>
        <w:ind w:firstLine="640"/>
        <w:rPr>
          <w:rFonts w:ascii="仿宋_GB2312" w:hAnsi="仿宋_GB2312" w:eastAsia="仿宋_GB2312" w:cs="仿宋_GB2312"/>
          <w:sz w:val="32"/>
          <w:szCs w:val="32"/>
          <w:highlight w:val="none"/>
          <w:u w:val="none"/>
        </w:rPr>
      </w:pPr>
    </w:p>
    <w:p w14:paraId="76D891BF">
      <w:pPr>
        <w:adjustRightInd w:val="0"/>
        <w:snapToGrid w:val="0"/>
        <w:jc w:val="center"/>
        <w:rPr>
          <w:rFonts w:ascii="微软雅黑" w:hAnsi="微软雅黑" w:eastAsia="微软雅黑" w:cs="微软雅黑"/>
          <w:sz w:val="36"/>
          <w:szCs w:val="36"/>
          <w:highlight w:val="none"/>
          <w:u w:val="none"/>
        </w:rPr>
      </w:pPr>
    </w:p>
    <w:p w14:paraId="083F7133">
      <w:pPr>
        <w:adjustRightInd w:val="0"/>
        <w:snapToGrid w:val="0"/>
        <w:jc w:val="center"/>
        <w:rPr>
          <w:rFonts w:ascii="微软雅黑" w:hAnsi="微软雅黑" w:eastAsia="微软雅黑" w:cs="微软雅黑"/>
          <w:sz w:val="36"/>
          <w:szCs w:val="36"/>
          <w:highlight w:val="none"/>
          <w:u w:val="none"/>
        </w:rPr>
      </w:pPr>
    </w:p>
    <w:p w14:paraId="0917C864">
      <w:pPr>
        <w:adjustRightInd w:val="0"/>
        <w:snapToGrid w:val="0"/>
        <w:jc w:val="center"/>
        <w:rPr>
          <w:rFonts w:ascii="方正小标宋简体" w:hAnsi="方正小标宋简体" w:eastAsia="方正小标宋简体" w:cs="方正小标宋简体"/>
          <w:sz w:val="36"/>
          <w:szCs w:val="36"/>
          <w:highlight w:val="none"/>
          <w:u w:val="none"/>
        </w:rPr>
      </w:pPr>
      <w:r>
        <w:rPr>
          <w:rFonts w:hint="eastAsia" w:ascii="方正小标宋简体" w:hAnsi="方正小标宋简体" w:eastAsia="方正小标宋简体" w:cs="方正小标宋简体"/>
          <w:sz w:val="36"/>
          <w:szCs w:val="36"/>
          <w:highlight w:val="none"/>
          <w:u w:val="none"/>
        </w:rPr>
        <w:t>申报材料提交内容要求</w:t>
      </w:r>
    </w:p>
    <w:p w14:paraId="09819706">
      <w:pPr>
        <w:adjustRightInd w:val="0"/>
        <w:snapToGrid w:val="0"/>
        <w:jc w:val="center"/>
        <w:rPr>
          <w:rFonts w:ascii="微软雅黑" w:hAnsi="微软雅黑" w:eastAsia="微软雅黑" w:cs="微软雅黑"/>
          <w:sz w:val="36"/>
          <w:szCs w:val="36"/>
          <w:highlight w:val="none"/>
          <w:u w:val="none"/>
        </w:rPr>
      </w:pPr>
    </w:p>
    <w:p w14:paraId="5B4C12DB">
      <w:pPr>
        <w:adjustRightInd w:val="0"/>
        <w:snapToGrid w:val="0"/>
        <w:spacing w:line="580" w:lineRule="exact"/>
        <w:ind w:firstLine="640"/>
        <w:rPr>
          <w:rFonts w:ascii="黑体" w:hAnsi="黑体" w:eastAsia="黑体" w:cs="黑体"/>
          <w:sz w:val="32"/>
          <w:szCs w:val="32"/>
          <w:highlight w:val="none"/>
          <w:u w:val="none"/>
        </w:rPr>
      </w:pPr>
      <w:r>
        <w:rPr>
          <w:rFonts w:hint="eastAsia" w:ascii="黑体" w:hAnsi="黑体" w:eastAsia="黑体" w:cs="黑体"/>
          <w:sz w:val="32"/>
          <w:szCs w:val="32"/>
          <w:highlight w:val="none"/>
          <w:u w:val="none"/>
        </w:rPr>
        <w:t>一、管理机构基本情况</w:t>
      </w:r>
    </w:p>
    <w:p w14:paraId="56350D7B">
      <w:pPr>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主要阐述管理机构注册资本、历史沿革、股权结构、机构性质</w:t>
      </w:r>
      <w:r>
        <w:rPr>
          <w:rFonts w:hint="eastAsia" w:ascii="仿宋_GB2312" w:hAnsi="仿宋_GB2312" w:eastAsia="仿宋_GB2312" w:cs="仿宋_GB2312"/>
          <w:color w:val="000000"/>
          <w:spacing w:val="4"/>
          <w:sz w:val="32"/>
          <w:szCs w:val="32"/>
          <w:highlight w:val="none"/>
          <w:u w:val="none"/>
        </w:rPr>
        <w:t>（如：国有独资、国有控股、民营企业、外资企业等）</w:t>
      </w:r>
      <w:r>
        <w:rPr>
          <w:rFonts w:hint="eastAsia" w:ascii="仿宋_GB2312" w:hAnsi="仿宋_GB2312" w:eastAsia="仿宋_GB2312" w:cs="仿宋_GB2312"/>
          <w:sz w:val="32"/>
          <w:szCs w:val="32"/>
          <w:highlight w:val="none"/>
          <w:u w:val="none"/>
        </w:rPr>
        <w:t>、治理架构、人员配置、登记备案情况、内部管理体系（包括投资决策机制、风险控制机制、内部激励</w:t>
      </w:r>
      <w:bookmarkStart w:id="37" w:name="OLE_LINK2"/>
      <w:r>
        <w:rPr>
          <w:rFonts w:hint="eastAsia" w:ascii="仿宋_GB2312" w:hAnsi="仿宋_GB2312" w:eastAsia="仿宋_GB2312" w:cs="仿宋_GB2312"/>
          <w:sz w:val="32"/>
          <w:szCs w:val="32"/>
          <w:highlight w:val="none"/>
          <w:u w:val="none"/>
        </w:rPr>
        <w:t>机制</w:t>
      </w:r>
      <w:bookmarkEnd w:id="37"/>
      <w:r>
        <w:rPr>
          <w:rFonts w:hint="eastAsia" w:ascii="仿宋_GB2312" w:hAnsi="仿宋_GB2312" w:eastAsia="仿宋_GB2312" w:cs="仿宋_GB2312"/>
          <w:sz w:val="32"/>
          <w:szCs w:val="32"/>
          <w:highlight w:val="none"/>
          <w:u w:val="none"/>
        </w:rPr>
        <w:t>、投后管理与增值服务机制、关联交易等内部管理制度）、合规经营等情况。如为联合体参加遴选，则需阐述联合体各组成方的情况。</w:t>
      </w:r>
    </w:p>
    <w:p w14:paraId="41C4C245">
      <w:pPr>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提供材料：营业执照副本复印件、公司章程或合伙协议、登记备案证明、管理机构法定代表人或执行事务合伙人（或其委派代表）身份证明、企业信用报告。管理机构及相关人员最近三年未受到有权监管机构的重大处罚，且无重大事项正在接受司法部门、监管机构的立案调查的承诺。</w:t>
      </w:r>
    </w:p>
    <w:p w14:paraId="3E3F7D4E">
      <w:pPr>
        <w:adjustRightInd w:val="0"/>
        <w:snapToGrid w:val="0"/>
        <w:spacing w:line="580" w:lineRule="exact"/>
        <w:ind w:firstLine="640"/>
        <w:rPr>
          <w:rFonts w:ascii="黑体" w:hAnsi="黑体" w:eastAsia="黑体" w:cs="黑体"/>
          <w:sz w:val="32"/>
          <w:szCs w:val="32"/>
          <w:highlight w:val="none"/>
          <w:u w:val="none"/>
        </w:rPr>
      </w:pPr>
      <w:r>
        <w:rPr>
          <w:rFonts w:hint="eastAsia" w:ascii="黑体" w:hAnsi="黑体" w:eastAsia="黑体" w:cs="黑体"/>
          <w:sz w:val="32"/>
          <w:szCs w:val="32"/>
          <w:highlight w:val="none"/>
          <w:u w:val="none"/>
        </w:rPr>
        <w:t>二、管理机构能力</w:t>
      </w:r>
    </w:p>
    <w:p w14:paraId="1D47254C">
      <w:pPr>
        <w:adjustRightInd w:val="0"/>
        <w:snapToGrid w:val="0"/>
        <w:spacing w:line="580" w:lineRule="exact"/>
        <w:ind w:firstLine="640"/>
        <w:rPr>
          <w:rFonts w:ascii="楷体_GB2312" w:hAnsi="楷体_GB2312" w:eastAsia="楷体_GB2312" w:cs="楷体_GB2312"/>
          <w:sz w:val="32"/>
          <w:szCs w:val="32"/>
          <w:highlight w:val="none"/>
          <w:u w:val="none"/>
        </w:rPr>
      </w:pPr>
      <w:r>
        <w:rPr>
          <w:rFonts w:hint="eastAsia" w:ascii="楷体_GB2312" w:hAnsi="楷体_GB2312" w:eastAsia="楷体_GB2312" w:cs="楷体_GB2312"/>
          <w:sz w:val="32"/>
          <w:szCs w:val="32"/>
          <w:highlight w:val="none"/>
          <w:u w:val="none"/>
        </w:rPr>
        <w:t>（一）管理基金情况</w:t>
      </w:r>
    </w:p>
    <w:p w14:paraId="4945B4A5">
      <w:pPr>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主要阐述管理机构近</w:t>
      </w:r>
      <w:r>
        <w:rPr>
          <w:rFonts w:hint="default" w:ascii="Times New Roman" w:hAnsi="Times New Roman" w:eastAsia="仿宋_GB2312" w:cs="Times New Roman"/>
          <w:sz w:val="32"/>
          <w:szCs w:val="32"/>
          <w:highlight w:val="none"/>
          <w:u w:val="none"/>
        </w:rPr>
        <w:t>５</w:t>
      </w:r>
      <w:r>
        <w:rPr>
          <w:rFonts w:hint="eastAsia" w:ascii="仿宋_GB2312" w:hAnsi="仿宋_GB2312" w:eastAsia="仿宋_GB2312" w:cs="仿宋_GB2312"/>
          <w:sz w:val="32"/>
          <w:szCs w:val="32"/>
          <w:highlight w:val="none"/>
          <w:u w:val="none"/>
        </w:rPr>
        <w:t>年管理的所有基金情况（重点说明管理的母基金、专注早期投资的科创基金情况），包括：基金名称、注册地、主要出资人、基金规模、认缴及实缴注册资本、投资领域、投资阶段、投资项目数量和金额、基金投资退出情况、基金投资业绩情况、基金管理关键人士等。</w:t>
      </w:r>
    </w:p>
    <w:p w14:paraId="1CE670DE">
      <w:pPr>
        <w:adjustRightInd w:val="0"/>
        <w:snapToGrid w:val="0"/>
        <w:spacing w:line="580" w:lineRule="exact"/>
        <w:ind w:firstLine="640"/>
        <w:rPr>
          <w:rFonts w:ascii="楷体_GB2312" w:hAnsi="楷体_GB2312" w:eastAsia="楷体_GB2312" w:cs="楷体_GB2312"/>
          <w:sz w:val="32"/>
          <w:szCs w:val="32"/>
          <w:highlight w:val="none"/>
          <w:u w:val="none"/>
        </w:rPr>
      </w:pPr>
      <w:r>
        <w:rPr>
          <w:rFonts w:hint="eastAsia" w:ascii="楷体_GB2312" w:hAnsi="楷体_GB2312" w:eastAsia="楷体_GB2312" w:cs="楷体_GB2312"/>
          <w:sz w:val="32"/>
          <w:szCs w:val="32"/>
          <w:highlight w:val="none"/>
          <w:u w:val="none"/>
        </w:rPr>
        <w:t>（二）核心能力匹配</w:t>
      </w:r>
    </w:p>
    <w:p w14:paraId="6ED6ADEE">
      <w:pPr>
        <w:adjustRightInd w:val="0"/>
        <w:snapToGrid w:val="0"/>
        <w:spacing w:line="580" w:lineRule="exact"/>
        <w:ind w:firstLine="640"/>
        <w:rPr>
          <w:rFonts w:ascii="仿宋_GB2312" w:hAnsi="仿宋_GB2312" w:eastAsia="仿宋_GB2312" w:cs="仿宋_GB2312"/>
          <w:sz w:val="32"/>
          <w:szCs w:val="32"/>
          <w:highlight w:val="none"/>
          <w:u w:val="none"/>
          <w:lang w:bidi="ar"/>
        </w:rPr>
      </w:pPr>
      <w:r>
        <w:rPr>
          <w:rFonts w:hint="eastAsia" w:ascii="仿宋_GB2312" w:hAnsi="仿宋_GB2312" w:eastAsia="仿宋_GB2312" w:cs="仿宋_GB2312"/>
          <w:sz w:val="32"/>
          <w:szCs w:val="32"/>
          <w:highlight w:val="none"/>
          <w:u w:val="none"/>
          <w:lang w:bidi="ar"/>
        </w:rPr>
        <w:t>管理机构管理的基金投资早期科技创新项目，促进科技成果转化方面的经验和成功案例；管理机构管理的基金投资覆盖行业与四川省“</w:t>
      </w:r>
      <w:r>
        <w:rPr>
          <w:rFonts w:hint="default" w:ascii="Times New Roman" w:hAnsi="Times New Roman" w:eastAsia="仿宋_GB2312" w:cs="Times New Roman"/>
          <w:sz w:val="32"/>
          <w:szCs w:val="32"/>
          <w:highlight w:val="none"/>
          <w:u w:val="none"/>
          <w:lang w:bidi="ar"/>
        </w:rPr>
        <w:t>6</w:t>
      </w:r>
      <w:r>
        <w:rPr>
          <w:rFonts w:hint="eastAsia" w:ascii="仿宋_GB2312" w:hAnsi="仿宋_GB2312" w:eastAsia="仿宋_GB2312" w:cs="仿宋_GB2312"/>
          <w:sz w:val="32"/>
          <w:szCs w:val="32"/>
          <w:highlight w:val="none"/>
          <w:u w:val="none"/>
          <w:lang w:bidi="ar"/>
        </w:rPr>
        <w:t>+</w:t>
      </w:r>
      <w:r>
        <w:rPr>
          <w:rFonts w:hint="default" w:ascii="Times New Roman" w:hAnsi="Times New Roman" w:eastAsia="仿宋_GB2312" w:cs="Times New Roman"/>
          <w:sz w:val="32"/>
          <w:szCs w:val="32"/>
          <w:highlight w:val="none"/>
          <w:u w:val="none"/>
          <w:lang w:bidi="ar"/>
        </w:rPr>
        <w:t>4</w:t>
      </w:r>
      <w:r>
        <w:rPr>
          <w:rFonts w:hint="eastAsia" w:ascii="仿宋_GB2312" w:hAnsi="仿宋_GB2312" w:eastAsia="仿宋_GB2312" w:cs="仿宋_GB2312"/>
          <w:sz w:val="32"/>
          <w:szCs w:val="32"/>
          <w:highlight w:val="none"/>
          <w:u w:val="none"/>
          <w:lang w:bidi="ar"/>
        </w:rPr>
        <w:t>+</w:t>
      </w:r>
      <w:r>
        <w:rPr>
          <w:rFonts w:hint="default" w:ascii="Times New Roman" w:hAnsi="Times New Roman" w:eastAsia="仿宋_GB2312" w:cs="Times New Roman"/>
          <w:sz w:val="32"/>
          <w:szCs w:val="32"/>
          <w:highlight w:val="none"/>
          <w:u w:val="none"/>
          <w:lang w:bidi="ar"/>
        </w:rPr>
        <w:t>3</w:t>
      </w:r>
      <w:r>
        <w:rPr>
          <w:rFonts w:hint="eastAsia" w:ascii="仿宋_GB2312" w:hAnsi="仿宋_GB2312" w:eastAsia="仿宋_GB2312" w:cs="仿宋_GB2312"/>
          <w:sz w:val="32"/>
          <w:szCs w:val="32"/>
          <w:highlight w:val="none"/>
          <w:u w:val="none"/>
          <w:lang w:bidi="ar"/>
        </w:rPr>
        <w:t>”产业的契合度和相关产业资源背景；整合资源为被投企业提供孵化培育赋能、支持企业成长的经验和成功案例；推动投资企业落地，服务地方产业发展的经验和成功案例。</w:t>
      </w:r>
    </w:p>
    <w:p w14:paraId="2DD4BF5D">
      <w:pPr>
        <w:adjustRightInd w:val="0"/>
        <w:snapToGrid w:val="0"/>
        <w:spacing w:line="580" w:lineRule="exact"/>
        <w:ind w:firstLine="640"/>
        <w:rPr>
          <w:rFonts w:ascii="楷体_GB2312" w:hAnsi="楷体_GB2312" w:eastAsia="楷体_GB2312" w:cs="楷体_GB2312"/>
          <w:sz w:val="32"/>
          <w:szCs w:val="32"/>
          <w:highlight w:val="none"/>
          <w:u w:val="none"/>
        </w:rPr>
      </w:pPr>
      <w:r>
        <w:rPr>
          <w:rFonts w:hint="eastAsia" w:ascii="楷体_GB2312" w:hAnsi="楷体_GB2312" w:eastAsia="楷体_GB2312" w:cs="楷体_GB2312"/>
          <w:sz w:val="32"/>
          <w:szCs w:val="32"/>
          <w:highlight w:val="none"/>
          <w:u w:val="none"/>
        </w:rPr>
        <w:t>（三）出资、募资能力</w:t>
      </w:r>
    </w:p>
    <w:p w14:paraId="3E4E7844">
      <w:pPr>
        <w:adjustRightInd w:val="0"/>
        <w:snapToGrid w:val="0"/>
        <w:spacing w:line="580" w:lineRule="exact"/>
        <w:ind w:firstLine="640"/>
        <w:rPr>
          <w:rFonts w:ascii="仿宋_GB2312" w:hAnsi="仿宋_GB2312" w:eastAsia="仿宋_GB2312" w:cs="仿宋_GB2312"/>
          <w:sz w:val="32"/>
          <w:szCs w:val="32"/>
          <w:highlight w:val="none"/>
          <w:u w:val="none"/>
          <w:lang w:bidi="ar"/>
        </w:rPr>
      </w:pPr>
      <w:r>
        <w:rPr>
          <w:rFonts w:hint="eastAsia" w:ascii="仿宋_GB2312" w:hAnsi="仿宋_GB2312" w:eastAsia="仿宋_GB2312" w:cs="仿宋_GB2312"/>
          <w:sz w:val="32"/>
          <w:szCs w:val="32"/>
          <w:highlight w:val="none"/>
          <w:u w:val="none"/>
          <w:lang w:bidi="ar"/>
        </w:rPr>
        <w:t>管理机构在基金中拟出资的比例和额度以及募资能力。</w:t>
      </w:r>
    </w:p>
    <w:p w14:paraId="44793133">
      <w:pPr>
        <w:pStyle w:val="13"/>
        <w:adjustRightInd w:val="0"/>
        <w:snapToGrid w:val="0"/>
        <w:spacing w:line="580" w:lineRule="exact"/>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提供材料：（</w:t>
      </w:r>
      <w:r>
        <w:rPr>
          <w:rFonts w:hint="default" w:ascii="Times New Roman" w:hAnsi="Times New Roman" w:eastAsia="仿宋_GB2312" w:cs="Times New Roman"/>
          <w:sz w:val="32"/>
          <w:szCs w:val="32"/>
          <w:highlight w:val="none"/>
          <w:u w:val="none"/>
        </w:rPr>
        <w:t>1</w:t>
      </w:r>
      <w:r>
        <w:rPr>
          <w:rFonts w:hint="eastAsia" w:ascii="仿宋_GB2312" w:hAnsi="仿宋_GB2312" w:eastAsia="仿宋_GB2312" w:cs="仿宋_GB2312"/>
          <w:sz w:val="32"/>
          <w:szCs w:val="32"/>
          <w:highlight w:val="none"/>
          <w:u w:val="none"/>
        </w:rPr>
        <w:t>）管理基金情况方面，管理机构填写近</w:t>
      </w:r>
      <w:r>
        <w:rPr>
          <w:rFonts w:hint="default" w:ascii="Times New Roman" w:hAnsi="Times New Roman" w:eastAsia="仿宋_GB2312" w:cs="Times New Roman"/>
          <w:sz w:val="32"/>
          <w:szCs w:val="32"/>
          <w:highlight w:val="none"/>
          <w:u w:val="none"/>
        </w:rPr>
        <w:t>５</w:t>
      </w:r>
      <w:r>
        <w:rPr>
          <w:rFonts w:hint="eastAsia" w:ascii="仿宋_GB2312" w:hAnsi="仿宋_GB2312" w:eastAsia="仿宋_GB2312" w:cs="仿宋_GB2312"/>
          <w:sz w:val="32"/>
          <w:szCs w:val="32"/>
          <w:highlight w:val="none"/>
          <w:u w:val="none"/>
        </w:rPr>
        <w:t>年管理的所有基金情况表并加盖公章（参照样表提供），并提供投资协议、工商登记、协会备案、业绩证明等证明材料。（</w:t>
      </w:r>
      <w:r>
        <w:rPr>
          <w:rFonts w:hint="default" w:ascii="Times New Roman" w:hAnsi="Times New Roman" w:eastAsia="仿宋_GB2312" w:cs="Times New Roman"/>
          <w:sz w:val="32"/>
          <w:szCs w:val="32"/>
          <w:highlight w:val="none"/>
          <w:u w:val="none"/>
        </w:rPr>
        <w:t>2</w:t>
      </w:r>
      <w:r>
        <w:rPr>
          <w:rFonts w:hint="eastAsia" w:ascii="仿宋_GB2312" w:hAnsi="仿宋_GB2312" w:eastAsia="仿宋_GB2312" w:cs="仿宋_GB2312"/>
          <w:sz w:val="32"/>
          <w:szCs w:val="32"/>
          <w:highlight w:val="none"/>
          <w:u w:val="none"/>
        </w:rPr>
        <w:t>）核心能力匹配方面，管理机构需列出近</w:t>
      </w:r>
      <w:r>
        <w:rPr>
          <w:rFonts w:hint="default" w:ascii="Times New Roman" w:hAnsi="Times New Roman" w:eastAsia="仿宋_GB2312" w:cs="Times New Roman"/>
          <w:sz w:val="32"/>
          <w:szCs w:val="32"/>
          <w:highlight w:val="none"/>
          <w:u w:val="none"/>
        </w:rPr>
        <w:t>5</w:t>
      </w:r>
      <w:r>
        <w:rPr>
          <w:rFonts w:hint="eastAsia" w:ascii="仿宋_GB2312" w:hAnsi="仿宋_GB2312" w:eastAsia="仿宋_GB2312" w:cs="仿宋_GB2312"/>
          <w:sz w:val="32"/>
          <w:szCs w:val="32"/>
          <w:highlight w:val="none"/>
          <w:u w:val="none"/>
        </w:rPr>
        <w:t>年在投资早期科技创新、科技成果转化项目、</w:t>
      </w:r>
      <w:r>
        <w:rPr>
          <w:rFonts w:hint="eastAsia" w:ascii="仿宋_GB2312" w:hAnsi="仿宋_GB2312" w:eastAsia="仿宋_GB2312" w:cs="仿宋_GB2312"/>
          <w:sz w:val="32"/>
          <w:szCs w:val="32"/>
          <w:highlight w:val="none"/>
          <w:u w:val="none"/>
          <w:lang w:bidi="ar"/>
        </w:rPr>
        <w:t>四川省“</w:t>
      </w:r>
      <w:r>
        <w:rPr>
          <w:rFonts w:hint="default" w:ascii="Times New Roman" w:hAnsi="Times New Roman" w:eastAsia="仿宋_GB2312" w:cs="Times New Roman"/>
          <w:sz w:val="32"/>
          <w:szCs w:val="32"/>
          <w:highlight w:val="none"/>
          <w:u w:val="none"/>
          <w:lang w:bidi="ar"/>
        </w:rPr>
        <w:t>6</w:t>
      </w:r>
      <w:r>
        <w:rPr>
          <w:rFonts w:hint="eastAsia" w:ascii="仿宋_GB2312" w:hAnsi="仿宋_GB2312" w:eastAsia="仿宋_GB2312" w:cs="仿宋_GB2312"/>
          <w:sz w:val="32"/>
          <w:szCs w:val="32"/>
          <w:highlight w:val="none"/>
          <w:u w:val="none"/>
          <w:lang w:bidi="ar"/>
        </w:rPr>
        <w:t>+</w:t>
      </w:r>
      <w:r>
        <w:rPr>
          <w:rFonts w:hint="default" w:ascii="Times New Roman" w:hAnsi="Times New Roman" w:eastAsia="仿宋_GB2312" w:cs="Times New Roman"/>
          <w:sz w:val="32"/>
          <w:szCs w:val="32"/>
          <w:highlight w:val="none"/>
          <w:u w:val="none"/>
          <w:lang w:bidi="ar"/>
        </w:rPr>
        <w:t>4</w:t>
      </w:r>
      <w:r>
        <w:rPr>
          <w:rFonts w:hint="eastAsia" w:ascii="仿宋_GB2312" w:hAnsi="仿宋_GB2312" w:eastAsia="仿宋_GB2312" w:cs="仿宋_GB2312"/>
          <w:sz w:val="32"/>
          <w:szCs w:val="32"/>
          <w:highlight w:val="none"/>
          <w:u w:val="none"/>
          <w:lang w:bidi="ar"/>
        </w:rPr>
        <w:t>+</w:t>
      </w:r>
      <w:r>
        <w:rPr>
          <w:rFonts w:hint="default" w:ascii="Times New Roman" w:hAnsi="Times New Roman" w:eastAsia="仿宋_GB2312" w:cs="Times New Roman"/>
          <w:sz w:val="32"/>
          <w:szCs w:val="32"/>
          <w:highlight w:val="none"/>
          <w:u w:val="none"/>
          <w:lang w:bidi="ar"/>
        </w:rPr>
        <w:t>3</w:t>
      </w:r>
      <w:r>
        <w:rPr>
          <w:rFonts w:hint="eastAsia" w:ascii="仿宋_GB2312" w:hAnsi="仿宋_GB2312" w:eastAsia="仿宋_GB2312" w:cs="仿宋_GB2312"/>
          <w:sz w:val="32"/>
          <w:szCs w:val="32"/>
          <w:highlight w:val="none"/>
          <w:u w:val="none"/>
          <w:lang w:bidi="ar"/>
        </w:rPr>
        <w:t>”</w:t>
      </w:r>
      <w:r>
        <w:rPr>
          <w:rFonts w:hint="eastAsia" w:ascii="仿宋_GB2312" w:hAnsi="仿宋_GB2312" w:eastAsia="仿宋_GB2312" w:cs="仿宋_GB2312"/>
          <w:sz w:val="32"/>
          <w:szCs w:val="32"/>
          <w:highlight w:val="none"/>
          <w:u w:val="none"/>
        </w:rPr>
        <w:t>重点产业领域的成功案例，以及为被投企业提供</w:t>
      </w:r>
      <w:r>
        <w:rPr>
          <w:rFonts w:hint="eastAsia" w:ascii="仿宋_GB2312" w:hAnsi="仿宋_GB2312" w:eastAsia="仿宋_GB2312" w:cs="仿宋_GB2312"/>
          <w:sz w:val="32"/>
          <w:szCs w:val="32"/>
          <w:highlight w:val="none"/>
          <w:u w:val="none"/>
          <w:lang w:bidi="ar"/>
        </w:rPr>
        <w:t>孵化培育赋能、支持企业成长、</w:t>
      </w:r>
      <w:r>
        <w:rPr>
          <w:rFonts w:hint="eastAsia" w:ascii="仿宋_GB2312" w:hAnsi="仿宋_GB2312" w:eastAsia="仿宋_GB2312" w:cs="仿宋_GB2312"/>
          <w:sz w:val="32"/>
          <w:szCs w:val="32"/>
          <w:highlight w:val="none"/>
          <w:u w:val="none"/>
        </w:rPr>
        <w:t>推动投资企业落地的成功案例和管理机构在其中发挥的主要作用。相关案例需提供项目投资后估值增长、财务增长、投资退出收益等方面的证明材料。（</w:t>
      </w:r>
      <w:r>
        <w:rPr>
          <w:rFonts w:hint="default" w:ascii="Times New Roman" w:hAnsi="Times New Roman" w:eastAsia="仿宋_GB2312" w:cs="Times New Roman"/>
          <w:sz w:val="32"/>
          <w:szCs w:val="32"/>
          <w:highlight w:val="none"/>
          <w:u w:val="none"/>
        </w:rPr>
        <w:t>3</w:t>
      </w:r>
      <w:r>
        <w:rPr>
          <w:rFonts w:hint="eastAsia" w:ascii="仿宋_GB2312" w:hAnsi="仿宋_GB2312" w:eastAsia="仿宋_GB2312" w:cs="仿宋_GB2312"/>
          <w:sz w:val="32"/>
          <w:szCs w:val="32"/>
          <w:highlight w:val="none"/>
          <w:u w:val="none"/>
        </w:rPr>
        <w:t>）出资、募资能力方面，需提供</w:t>
      </w:r>
      <w:r>
        <w:rPr>
          <w:rFonts w:hint="eastAsia" w:ascii="仿宋_GB2312" w:hAnsi="仿宋_GB2312" w:eastAsia="仿宋_GB2312" w:cs="仿宋_GB2312"/>
          <w:sz w:val="32"/>
          <w:szCs w:val="32"/>
          <w:highlight w:val="none"/>
          <w:u w:val="none"/>
          <w:lang w:val="en-US" w:eastAsia="zh-CN"/>
        </w:rPr>
        <w:t>募资</w:t>
      </w:r>
      <w:r>
        <w:rPr>
          <w:rFonts w:hint="eastAsia" w:ascii="仿宋_GB2312" w:hAnsi="仿宋_GB2312" w:eastAsia="仿宋_GB2312" w:cs="仿宋_GB2312"/>
          <w:sz w:val="32"/>
          <w:szCs w:val="32"/>
          <w:highlight w:val="none"/>
          <w:u w:val="none"/>
        </w:rPr>
        <w:t>承诺书并加盖公章。（</w:t>
      </w:r>
      <w:r>
        <w:rPr>
          <w:rFonts w:hint="default" w:ascii="Times New Roman" w:hAnsi="Times New Roman" w:eastAsia="仿宋_GB2312" w:cs="Times New Roman"/>
          <w:sz w:val="32"/>
          <w:szCs w:val="32"/>
          <w:highlight w:val="none"/>
          <w:u w:val="none"/>
        </w:rPr>
        <w:t>4</w:t>
      </w:r>
      <w:r>
        <w:rPr>
          <w:rFonts w:hint="eastAsia" w:ascii="仿宋_GB2312" w:hAnsi="仿宋_GB2312" w:eastAsia="仿宋_GB2312" w:cs="仿宋_GB2312"/>
          <w:sz w:val="32"/>
          <w:szCs w:val="32"/>
          <w:highlight w:val="none"/>
          <w:u w:val="none"/>
        </w:rPr>
        <w:t>）基金管理机构与合作方联合参与基金管理</w:t>
      </w:r>
      <w:r>
        <w:rPr>
          <w:rFonts w:hint="eastAsia" w:ascii="仿宋_GB2312" w:hAnsi="仿宋_GB2312" w:eastAsia="仿宋_GB2312" w:cs="仿宋_GB2312"/>
          <w:sz w:val="32"/>
          <w:szCs w:val="32"/>
          <w:highlight w:val="none"/>
          <w:u w:val="none"/>
          <w:lang w:val="en-US" w:eastAsia="zh-CN"/>
        </w:rPr>
        <w:t>机构</w:t>
      </w:r>
      <w:r>
        <w:rPr>
          <w:rFonts w:hint="eastAsia" w:ascii="仿宋_GB2312" w:hAnsi="仿宋_GB2312" w:eastAsia="仿宋_GB2312" w:cs="仿宋_GB2312"/>
          <w:sz w:val="32"/>
          <w:szCs w:val="32"/>
          <w:highlight w:val="none"/>
          <w:u w:val="none"/>
        </w:rPr>
        <w:t>遴选，双方业绩可累加计算但不重复计算。</w:t>
      </w:r>
    </w:p>
    <w:p w14:paraId="2418A3DE">
      <w:pPr>
        <w:adjustRightInd w:val="0"/>
        <w:snapToGrid w:val="0"/>
        <w:spacing w:line="580" w:lineRule="exact"/>
        <w:ind w:firstLine="640"/>
        <w:rPr>
          <w:rFonts w:ascii="黑体" w:hAnsi="黑体" w:eastAsia="黑体" w:cs="黑体"/>
          <w:sz w:val="32"/>
          <w:szCs w:val="32"/>
          <w:highlight w:val="none"/>
          <w:u w:val="none"/>
        </w:rPr>
      </w:pPr>
      <w:r>
        <w:rPr>
          <w:rFonts w:hint="eastAsia" w:ascii="黑体" w:hAnsi="黑体" w:eastAsia="黑体" w:cs="黑体"/>
          <w:sz w:val="32"/>
          <w:szCs w:val="32"/>
          <w:highlight w:val="none"/>
          <w:u w:val="none"/>
        </w:rPr>
        <w:t>三、管理团队情况</w:t>
      </w:r>
    </w:p>
    <w:p w14:paraId="4C5DDA0B">
      <w:pPr>
        <w:adjustRightInd w:val="0"/>
        <w:snapToGrid w:val="0"/>
        <w:spacing w:line="580" w:lineRule="exact"/>
        <w:ind w:firstLine="640"/>
        <w:rPr>
          <w:rFonts w:ascii="楷体_GB2312" w:hAnsi="楷体_GB2312" w:eastAsia="楷体_GB2312" w:cs="楷体_GB2312"/>
          <w:sz w:val="32"/>
          <w:szCs w:val="32"/>
          <w:highlight w:val="none"/>
          <w:u w:val="none"/>
        </w:rPr>
      </w:pPr>
      <w:r>
        <w:rPr>
          <w:rFonts w:hint="eastAsia" w:ascii="楷体_GB2312" w:hAnsi="楷体_GB2312" w:eastAsia="楷体_GB2312" w:cs="楷体_GB2312"/>
          <w:sz w:val="32"/>
          <w:szCs w:val="32"/>
          <w:highlight w:val="none"/>
          <w:u w:val="none"/>
        </w:rPr>
        <w:t>（一）团队配备基本情况</w:t>
      </w:r>
    </w:p>
    <w:p w14:paraId="385226ED">
      <w:pPr>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配备的管理团队组织架构，管理团队、核心人员及关键人士情况介绍，包括基本信息、教育背景、从业履历、擅长投资领域、优势介绍、资质荣誉等。</w:t>
      </w:r>
    </w:p>
    <w:p w14:paraId="58B6381D">
      <w:pPr>
        <w:adjustRightInd w:val="0"/>
        <w:snapToGrid w:val="0"/>
        <w:spacing w:line="580" w:lineRule="exact"/>
        <w:ind w:firstLine="640"/>
        <w:rPr>
          <w:rFonts w:ascii="楷体_GB2312" w:hAnsi="楷体_GB2312" w:eastAsia="楷体_GB2312" w:cs="楷体_GB2312"/>
          <w:b w:val="0"/>
          <w:bCs w:val="0"/>
          <w:sz w:val="32"/>
          <w:szCs w:val="32"/>
          <w:highlight w:val="none"/>
          <w:u w:val="none"/>
        </w:rPr>
      </w:pPr>
      <w:r>
        <w:rPr>
          <w:rFonts w:hint="eastAsia" w:ascii="楷体_GB2312" w:hAnsi="楷体_GB2312" w:eastAsia="楷体_GB2312" w:cs="楷体_GB2312"/>
          <w:sz w:val="32"/>
          <w:szCs w:val="32"/>
          <w:highlight w:val="none"/>
          <w:u w:val="none"/>
        </w:rPr>
        <w:t>（二）</w:t>
      </w:r>
      <w:r>
        <w:rPr>
          <w:rFonts w:hint="eastAsia" w:ascii="楷体_GB2312" w:hAnsi="楷体_GB2312" w:eastAsia="楷体_GB2312" w:cs="楷体_GB2312"/>
          <w:b w:val="0"/>
          <w:bCs w:val="0"/>
          <w:sz w:val="32"/>
          <w:szCs w:val="32"/>
          <w:highlight w:val="none"/>
          <w:u w:val="none"/>
        </w:rPr>
        <w:t>专职人员管理基金情况</w:t>
      </w:r>
    </w:p>
    <w:p w14:paraId="42C36B4A">
      <w:pPr>
        <w:adjustRightInd w:val="0"/>
        <w:snapToGrid w:val="0"/>
        <w:spacing w:line="580" w:lineRule="exact"/>
        <w:ind w:firstLine="640"/>
        <w:rPr>
          <w:rFonts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val="0"/>
          <w:bCs w:val="0"/>
          <w:sz w:val="32"/>
          <w:szCs w:val="32"/>
          <w:highlight w:val="none"/>
          <w:u w:val="none"/>
        </w:rPr>
        <w:t>管理团队的专职人员近</w:t>
      </w:r>
      <w:r>
        <w:rPr>
          <w:rFonts w:hint="default" w:ascii="Times New Roman" w:hAnsi="Times New Roman" w:eastAsia="仿宋_GB2312" w:cs="Times New Roman"/>
          <w:b w:val="0"/>
          <w:bCs w:val="0"/>
          <w:sz w:val="32"/>
          <w:szCs w:val="32"/>
          <w:highlight w:val="none"/>
          <w:u w:val="none"/>
        </w:rPr>
        <w:t>5</w:t>
      </w:r>
      <w:r>
        <w:rPr>
          <w:rFonts w:hint="eastAsia" w:ascii="仿宋_GB2312" w:hAnsi="仿宋_GB2312" w:eastAsia="仿宋_GB2312" w:cs="仿宋_GB2312"/>
          <w:b w:val="0"/>
          <w:bCs w:val="0"/>
          <w:sz w:val="32"/>
          <w:szCs w:val="32"/>
          <w:highlight w:val="none"/>
          <w:u w:val="none"/>
        </w:rPr>
        <w:t>年管理的所有基金情况（重点说明管理的母基金、专注早期投资的科创基金情况），包括：基金名称、注册地、主要出资人、基金规模、认缴及实缴注册资本、投资领域、投资阶段、投资项目数量和金额、基金投资退出情况、基金投资业绩情况，以及参与人员在其中的职务和角色等。</w:t>
      </w:r>
    </w:p>
    <w:p w14:paraId="3EE1F904">
      <w:pPr>
        <w:adjustRightInd w:val="0"/>
        <w:snapToGrid w:val="0"/>
        <w:spacing w:line="580" w:lineRule="exact"/>
        <w:ind w:firstLine="640"/>
        <w:rPr>
          <w:rFonts w:ascii="楷体_GB2312" w:hAnsi="楷体_GB2312" w:eastAsia="楷体_GB2312" w:cs="楷体_GB2312"/>
          <w:b w:val="0"/>
          <w:bCs w:val="0"/>
          <w:sz w:val="32"/>
          <w:szCs w:val="32"/>
          <w:highlight w:val="none"/>
          <w:u w:val="none"/>
        </w:rPr>
      </w:pPr>
      <w:r>
        <w:rPr>
          <w:rFonts w:hint="eastAsia" w:ascii="楷体_GB2312" w:hAnsi="楷体_GB2312" w:eastAsia="楷体_GB2312" w:cs="楷体_GB2312"/>
          <w:b w:val="0"/>
          <w:bCs w:val="0"/>
          <w:sz w:val="32"/>
          <w:szCs w:val="32"/>
          <w:highlight w:val="none"/>
          <w:u w:val="none"/>
        </w:rPr>
        <w:t>（三）专职人员业绩</w:t>
      </w:r>
    </w:p>
    <w:p w14:paraId="43CE7334">
      <w:pPr>
        <w:adjustRightInd w:val="0"/>
        <w:snapToGrid w:val="0"/>
        <w:spacing w:line="580" w:lineRule="exact"/>
        <w:ind w:firstLine="640"/>
        <w:rPr>
          <w:rFonts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val="0"/>
          <w:bCs w:val="0"/>
          <w:sz w:val="32"/>
          <w:szCs w:val="32"/>
          <w:highlight w:val="none"/>
          <w:u w:val="none"/>
        </w:rPr>
        <w:t>管理团队的专职人员近</w:t>
      </w:r>
      <w:r>
        <w:rPr>
          <w:rFonts w:hint="default" w:ascii="Times New Roman" w:hAnsi="Times New Roman" w:eastAsia="仿宋_GB2312" w:cs="Times New Roman"/>
          <w:b w:val="0"/>
          <w:bCs w:val="0"/>
          <w:sz w:val="32"/>
          <w:szCs w:val="32"/>
          <w:highlight w:val="none"/>
          <w:u w:val="none"/>
        </w:rPr>
        <w:t>5</w:t>
      </w:r>
      <w:r>
        <w:rPr>
          <w:rFonts w:hint="eastAsia" w:ascii="仿宋_GB2312" w:hAnsi="仿宋_GB2312" w:eastAsia="仿宋_GB2312" w:cs="仿宋_GB2312"/>
          <w:b w:val="0"/>
          <w:bCs w:val="0"/>
          <w:sz w:val="32"/>
          <w:szCs w:val="32"/>
          <w:highlight w:val="none"/>
          <w:u w:val="none"/>
        </w:rPr>
        <w:t>年管理的所有基金业绩情况，管理基金的直投项目取得的投资业绩情况和成功投资案例。</w:t>
      </w:r>
    </w:p>
    <w:p w14:paraId="37840CE9">
      <w:pPr>
        <w:adjustRightInd w:val="0"/>
        <w:snapToGrid w:val="0"/>
        <w:spacing w:line="580" w:lineRule="exact"/>
        <w:ind w:firstLine="640"/>
        <w:rPr>
          <w:rFonts w:ascii="楷体_GB2312" w:hAnsi="楷体_GB2312" w:eastAsia="楷体_GB2312" w:cs="楷体_GB2312"/>
          <w:b w:val="0"/>
          <w:bCs w:val="0"/>
          <w:sz w:val="32"/>
          <w:szCs w:val="32"/>
          <w:highlight w:val="none"/>
          <w:u w:val="none"/>
        </w:rPr>
      </w:pPr>
      <w:r>
        <w:rPr>
          <w:rFonts w:hint="eastAsia" w:ascii="楷体_GB2312" w:hAnsi="楷体_GB2312" w:eastAsia="楷体_GB2312" w:cs="楷体_GB2312"/>
          <w:b w:val="0"/>
          <w:bCs w:val="0"/>
          <w:sz w:val="32"/>
          <w:szCs w:val="32"/>
          <w:highlight w:val="none"/>
          <w:u w:val="none"/>
        </w:rPr>
        <w:t>（四）核心能力匹配</w:t>
      </w:r>
    </w:p>
    <w:p w14:paraId="4344B7B9">
      <w:pPr>
        <w:adjustRightInd w:val="0"/>
        <w:snapToGrid w:val="0"/>
        <w:spacing w:line="580" w:lineRule="exact"/>
        <w:ind w:firstLine="640"/>
        <w:rPr>
          <w:rFonts w:ascii="仿宋_GB2312" w:hAnsi="仿宋_GB2312" w:eastAsia="仿宋_GB2312" w:cs="仿宋_GB2312"/>
          <w:b w:val="0"/>
          <w:bCs w:val="0"/>
          <w:sz w:val="32"/>
          <w:szCs w:val="32"/>
          <w:highlight w:val="none"/>
          <w:u w:val="none"/>
          <w:lang w:bidi="ar"/>
        </w:rPr>
      </w:pPr>
      <w:r>
        <w:rPr>
          <w:rFonts w:hint="eastAsia" w:ascii="仿宋_GB2312" w:hAnsi="仿宋_GB2312" w:eastAsia="仿宋_GB2312" w:cs="仿宋_GB2312"/>
          <w:b w:val="0"/>
          <w:bCs w:val="0"/>
          <w:sz w:val="32"/>
          <w:szCs w:val="32"/>
          <w:highlight w:val="none"/>
          <w:u w:val="none"/>
          <w:lang w:bidi="ar"/>
        </w:rPr>
        <w:t>管理团队的专职人员专业能力和经验与基金所需核心能力的匹配度，专职人员管理的基金投资早期科创类项目，促进科技成果转化方面的经验和成功案例（早期科创类项目要求投资时项目投前估值不高于</w:t>
      </w:r>
      <w:r>
        <w:rPr>
          <w:rFonts w:hint="default" w:ascii="Times New Roman" w:hAnsi="Times New Roman" w:eastAsia="仿宋_GB2312" w:cs="Times New Roman"/>
          <w:b w:val="0"/>
          <w:bCs w:val="0"/>
          <w:sz w:val="32"/>
          <w:szCs w:val="32"/>
          <w:highlight w:val="none"/>
          <w:u w:val="none"/>
          <w:lang w:bidi="ar"/>
        </w:rPr>
        <w:t>3</w:t>
      </w:r>
      <w:r>
        <w:rPr>
          <w:rFonts w:hint="eastAsia" w:ascii="仿宋_GB2312" w:hAnsi="仿宋_GB2312" w:eastAsia="仿宋_GB2312" w:cs="仿宋_GB2312"/>
          <w:b w:val="0"/>
          <w:bCs w:val="0"/>
          <w:sz w:val="32"/>
          <w:szCs w:val="32"/>
          <w:highlight w:val="none"/>
          <w:u w:val="none"/>
          <w:lang w:bidi="ar"/>
        </w:rPr>
        <w:t>亿元，或为第一轮或第二轮融资；成功案例要求估值增长</w:t>
      </w:r>
      <w:r>
        <w:rPr>
          <w:rFonts w:hint="default" w:ascii="Times New Roman" w:hAnsi="Times New Roman" w:eastAsia="仿宋_GB2312" w:cs="Times New Roman"/>
          <w:b w:val="0"/>
          <w:bCs w:val="0"/>
          <w:sz w:val="32"/>
          <w:szCs w:val="32"/>
          <w:highlight w:val="none"/>
          <w:u w:val="none"/>
          <w:lang w:bidi="ar"/>
        </w:rPr>
        <w:t>10</w:t>
      </w:r>
      <w:r>
        <w:rPr>
          <w:rFonts w:hint="eastAsia" w:ascii="仿宋_GB2312" w:hAnsi="仿宋_GB2312" w:eastAsia="仿宋_GB2312" w:cs="仿宋_GB2312"/>
          <w:b w:val="0"/>
          <w:bCs w:val="0"/>
          <w:sz w:val="32"/>
          <w:szCs w:val="32"/>
          <w:highlight w:val="none"/>
          <w:u w:val="none"/>
          <w:lang w:bidi="ar"/>
        </w:rPr>
        <w:t>倍以上，或实现</w:t>
      </w:r>
      <w:r>
        <w:rPr>
          <w:rFonts w:hint="default" w:ascii="Times New Roman" w:hAnsi="Times New Roman" w:eastAsia="仿宋_GB2312" w:cs="Times New Roman"/>
          <w:b w:val="0"/>
          <w:bCs w:val="0"/>
          <w:sz w:val="32"/>
          <w:szCs w:val="32"/>
          <w:highlight w:val="none"/>
          <w:u w:val="none"/>
          <w:lang w:bidi="ar"/>
        </w:rPr>
        <w:t>10</w:t>
      </w:r>
      <w:r>
        <w:rPr>
          <w:rFonts w:hint="eastAsia" w:ascii="仿宋_GB2312" w:hAnsi="仿宋_GB2312" w:eastAsia="仿宋_GB2312" w:cs="仿宋_GB2312"/>
          <w:b w:val="0"/>
          <w:bCs w:val="0"/>
          <w:sz w:val="32"/>
          <w:szCs w:val="32"/>
          <w:highlight w:val="none"/>
          <w:u w:val="none"/>
          <w:lang w:bidi="ar"/>
        </w:rPr>
        <w:t>倍以上收益退出）；管理团队的专职人员管理的基金投资覆盖行业与四川省“</w:t>
      </w:r>
      <w:r>
        <w:rPr>
          <w:rFonts w:hint="default" w:ascii="Times New Roman" w:hAnsi="Times New Roman" w:eastAsia="仿宋_GB2312" w:cs="Times New Roman"/>
          <w:b w:val="0"/>
          <w:bCs w:val="0"/>
          <w:sz w:val="32"/>
          <w:szCs w:val="32"/>
          <w:highlight w:val="none"/>
          <w:u w:val="none"/>
          <w:lang w:bidi="ar"/>
        </w:rPr>
        <w:t>6</w:t>
      </w:r>
      <w:r>
        <w:rPr>
          <w:rFonts w:hint="eastAsia" w:ascii="仿宋_GB2312" w:hAnsi="仿宋_GB2312" w:eastAsia="仿宋_GB2312" w:cs="仿宋_GB2312"/>
          <w:b w:val="0"/>
          <w:bCs w:val="0"/>
          <w:sz w:val="32"/>
          <w:szCs w:val="32"/>
          <w:highlight w:val="none"/>
          <w:u w:val="none"/>
          <w:lang w:bidi="ar"/>
        </w:rPr>
        <w:t>+</w:t>
      </w:r>
      <w:r>
        <w:rPr>
          <w:rFonts w:hint="default" w:ascii="Times New Roman" w:hAnsi="Times New Roman" w:eastAsia="仿宋_GB2312" w:cs="Times New Roman"/>
          <w:b w:val="0"/>
          <w:bCs w:val="0"/>
          <w:sz w:val="32"/>
          <w:szCs w:val="32"/>
          <w:highlight w:val="none"/>
          <w:u w:val="none"/>
          <w:lang w:bidi="ar"/>
        </w:rPr>
        <w:t>4</w:t>
      </w:r>
      <w:r>
        <w:rPr>
          <w:rFonts w:hint="eastAsia" w:ascii="仿宋_GB2312" w:hAnsi="仿宋_GB2312" w:eastAsia="仿宋_GB2312" w:cs="仿宋_GB2312"/>
          <w:b w:val="0"/>
          <w:bCs w:val="0"/>
          <w:sz w:val="32"/>
          <w:szCs w:val="32"/>
          <w:highlight w:val="none"/>
          <w:u w:val="none"/>
          <w:lang w:bidi="ar"/>
        </w:rPr>
        <w:t>+</w:t>
      </w:r>
      <w:r>
        <w:rPr>
          <w:rFonts w:hint="default" w:ascii="Times New Roman" w:hAnsi="Times New Roman" w:eastAsia="仿宋_GB2312" w:cs="Times New Roman"/>
          <w:b w:val="0"/>
          <w:bCs w:val="0"/>
          <w:sz w:val="32"/>
          <w:szCs w:val="32"/>
          <w:highlight w:val="none"/>
          <w:u w:val="none"/>
          <w:lang w:bidi="ar"/>
        </w:rPr>
        <w:t>3</w:t>
      </w:r>
      <w:r>
        <w:rPr>
          <w:rFonts w:hint="eastAsia" w:ascii="仿宋_GB2312" w:hAnsi="仿宋_GB2312" w:eastAsia="仿宋_GB2312" w:cs="仿宋_GB2312"/>
          <w:b w:val="0"/>
          <w:bCs w:val="0"/>
          <w:sz w:val="32"/>
          <w:szCs w:val="32"/>
          <w:highlight w:val="none"/>
          <w:u w:val="none"/>
          <w:lang w:bidi="ar"/>
        </w:rPr>
        <w:t>”产业的契合度；整合资源为被投企业提供孵化培育赋能、支持企业成长的经验和成功案例；推动投资企业落地，服务地方产业发展的经验和成功案例。</w:t>
      </w:r>
    </w:p>
    <w:p w14:paraId="6797549A">
      <w:pPr>
        <w:adjustRightInd w:val="0"/>
        <w:snapToGrid w:val="0"/>
        <w:spacing w:line="580" w:lineRule="exact"/>
        <w:ind w:firstLine="640"/>
        <w:rPr>
          <w:rFonts w:ascii="楷体_GB2312" w:hAnsi="楷体_GB2312" w:eastAsia="楷体_GB2312" w:cs="楷体_GB2312"/>
          <w:sz w:val="32"/>
          <w:szCs w:val="32"/>
          <w:highlight w:val="none"/>
          <w:u w:val="none"/>
        </w:rPr>
      </w:pPr>
      <w:r>
        <w:rPr>
          <w:rFonts w:hint="eastAsia" w:ascii="楷体_GB2312" w:hAnsi="楷体_GB2312" w:eastAsia="楷体_GB2312" w:cs="楷体_GB2312"/>
          <w:sz w:val="32"/>
          <w:szCs w:val="32"/>
          <w:highlight w:val="none"/>
          <w:u w:val="none"/>
        </w:rPr>
        <w:t>（五）第一责任人情况</w:t>
      </w:r>
    </w:p>
    <w:p w14:paraId="31806203">
      <w:pPr>
        <w:adjustRightInd w:val="0"/>
        <w:snapToGrid w:val="0"/>
        <w:spacing w:line="580" w:lineRule="exact"/>
        <w:ind w:firstLine="640"/>
        <w:rPr>
          <w:rFonts w:ascii="仿宋_GB2312" w:hAnsi="仿宋_GB2312" w:eastAsia="仿宋_GB2312" w:cs="仿宋_GB2312"/>
          <w:sz w:val="32"/>
          <w:szCs w:val="32"/>
          <w:highlight w:val="none"/>
          <w:u w:val="none"/>
          <w:lang w:bidi="ar"/>
        </w:rPr>
      </w:pPr>
      <w:r>
        <w:rPr>
          <w:rFonts w:hint="eastAsia" w:ascii="仿宋_GB2312" w:hAnsi="仿宋_GB2312" w:eastAsia="仿宋_GB2312" w:cs="仿宋_GB2312"/>
          <w:sz w:val="32"/>
          <w:szCs w:val="32"/>
          <w:highlight w:val="none"/>
          <w:u w:val="none"/>
          <w:lang w:bidi="ar"/>
        </w:rPr>
        <w:t>管理团队的第一责任人具备相关要求的说明，包括任职经历、具有相关能力的分析说明等。</w:t>
      </w:r>
    </w:p>
    <w:p w14:paraId="4B930612">
      <w:pPr>
        <w:pStyle w:val="13"/>
        <w:adjustRightInd w:val="0"/>
        <w:snapToGrid w:val="0"/>
        <w:spacing w:line="580" w:lineRule="exact"/>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提供</w:t>
      </w:r>
      <w:r>
        <w:rPr>
          <w:rFonts w:hint="eastAsia" w:ascii="仿宋_GB2312" w:hAnsi="仿宋_GB2312" w:eastAsia="仿宋_GB2312" w:cs="仿宋_GB2312"/>
          <w:sz w:val="32"/>
          <w:szCs w:val="32"/>
          <w:highlight w:val="none"/>
          <w:u w:val="none"/>
          <w:lang w:bidi="ar"/>
        </w:rPr>
        <w:t>材料：（</w:t>
      </w:r>
      <w:r>
        <w:rPr>
          <w:rFonts w:hint="default" w:ascii="Times New Roman" w:hAnsi="Times New Roman" w:eastAsia="仿宋_GB2312" w:cs="Times New Roman"/>
          <w:sz w:val="32"/>
          <w:szCs w:val="32"/>
          <w:highlight w:val="none"/>
          <w:u w:val="none"/>
          <w:lang w:bidi="ar"/>
        </w:rPr>
        <w:t>1</w:t>
      </w:r>
      <w:r>
        <w:rPr>
          <w:rFonts w:hint="eastAsia" w:ascii="仿宋_GB2312" w:hAnsi="仿宋_GB2312" w:eastAsia="仿宋_GB2312" w:cs="仿宋_GB2312"/>
          <w:sz w:val="32"/>
          <w:szCs w:val="32"/>
          <w:highlight w:val="none"/>
          <w:u w:val="none"/>
          <w:lang w:bidi="ar"/>
        </w:rPr>
        <w:t>）团队配备基本情况方面，提供相关人员教育背景、</w:t>
      </w:r>
      <w:r>
        <w:rPr>
          <w:rFonts w:hint="eastAsia" w:ascii="仿宋_GB2312" w:hAnsi="仿宋_GB2312" w:eastAsia="仿宋_GB2312" w:cs="仿宋_GB2312"/>
          <w:sz w:val="32"/>
          <w:szCs w:val="32"/>
          <w:highlight w:val="none"/>
          <w:u w:val="none"/>
        </w:rPr>
        <w:t>职称证书、从业资格、任职证明</w:t>
      </w:r>
      <w:r>
        <w:rPr>
          <w:rFonts w:hint="eastAsia" w:ascii="仿宋_GB2312" w:hAnsi="仿宋_GB2312" w:eastAsia="仿宋_GB2312" w:cs="仿宋_GB2312"/>
          <w:sz w:val="32"/>
          <w:szCs w:val="32"/>
          <w:highlight w:val="none"/>
          <w:u w:val="none"/>
          <w:lang w:bidi="ar"/>
        </w:rPr>
        <w:t>、资质荣誉等方面的证明材料。（</w:t>
      </w:r>
      <w:r>
        <w:rPr>
          <w:rFonts w:hint="default" w:ascii="Times New Roman" w:hAnsi="Times New Roman" w:eastAsia="仿宋_GB2312" w:cs="Times New Roman"/>
          <w:sz w:val="32"/>
          <w:szCs w:val="32"/>
          <w:highlight w:val="none"/>
          <w:u w:val="none"/>
          <w:lang w:bidi="ar"/>
        </w:rPr>
        <w:t>2</w:t>
      </w:r>
      <w:r>
        <w:rPr>
          <w:rFonts w:hint="eastAsia" w:ascii="仿宋_GB2312" w:hAnsi="仿宋_GB2312" w:eastAsia="仿宋_GB2312" w:cs="仿宋_GB2312"/>
          <w:sz w:val="32"/>
          <w:szCs w:val="32"/>
          <w:highlight w:val="none"/>
          <w:u w:val="none"/>
          <w:lang w:bidi="ar"/>
        </w:rPr>
        <w:t>）专职人员管理基金情况，填写近</w:t>
      </w:r>
      <w:r>
        <w:rPr>
          <w:rFonts w:hint="default" w:ascii="Times New Roman" w:hAnsi="Times New Roman" w:eastAsia="仿宋_GB2312" w:cs="Times New Roman"/>
          <w:sz w:val="32"/>
          <w:szCs w:val="32"/>
          <w:highlight w:val="none"/>
          <w:u w:val="none"/>
          <w:lang w:bidi="ar"/>
        </w:rPr>
        <w:t>5</w:t>
      </w:r>
      <w:r>
        <w:rPr>
          <w:rFonts w:hint="eastAsia" w:ascii="仿宋_GB2312" w:hAnsi="仿宋_GB2312" w:eastAsia="仿宋_GB2312" w:cs="仿宋_GB2312"/>
          <w:sz w:val="32"/>
          <w:szCs w:val="32"/>
          <w:highlight w:val="none"/>
          <w:u w:val="none"/>
          <w:lang w:bidi="ar"/>
        </w:rPr>
        <w:t>年基金管理情况表并加盖公章（参照样表填写），并提供投资协议、</w:t>
      </w:r>
      <w:r>
        <w:rPr>
          <w:rFonts w:hint="eastAsia" w:ascii="仿宋_GB2312" w:hAnsi="仿宋_GB2312" w:eastAsia="仿宋_GB2312" w:cs="仿宋_GB2312"/>
          <w:sz w:val="32"/>
          <w:szCs w:val="32"/>
          <w:highlight w:val="none"/>
          <w:u w:val="none"/>
        </w:rPr>
        <w:t>工商登记、协会备案、</w:t>
      </w:r>
      <w:r>
        <w:rPr>
          <w:rFonts w:hint="eastAsia" w:ascii="仿宋_GB2312" w:hAnsi="仿宋_GB2312" w:eastAsia="仿宋_GB2312" w:cs="仿宋_GB2312"/>
          <w:sz w:val="32"/>
          <w:szCs w:val="32"/>
          <w:highlight w:val="none"/>
          <w:u w:val="none"/>
          <w:lang w:bidi="ar"/>
        </w:rPr>
        <w:t>业绩证明等证明材料。（</w:t>
      </w:r>
      <w:r>
        <w:rPr>
          <w:rFonts w:hint="default" w:ascii="Times New Roman" w:hAnsi="Times New Roman" w:eastAsia="仿宋_GB2312" w:cs="Times New Roman"/>
          <w:sz w:val="32"/>
          <w:szCs w:val="32"/>
          <w:highlight w:val="none"/>
          <w:u w:val="none"/>
          <w:lang w:bidi="ar"/>
        </w:rPr>
        <w:t>3</w:t>
      </w:r>
      <w:r>
        <w:rPr>
          <w:rFonts w:hint="eastAsia" w:ascii="仿宋_GB2312" w:hAnsi="仿宋_GB2312" w:eastAsia="仿宋_GB2312" w:cs="仿宋_GB2312"/>
          <w:sz w:val="32"/>
          <w:szCs w:val="32"/>
          <w:highlight w:val="none"/>
          <w:u w:val="none"/>
          <w:lang w:bidi="ar"/>
        </w:rPr>
        <w:t>）专职人员近</w:t>
      </w:r>
      <w:r>
        <w:rPr>
          <w:rFonts w:hint="default" w:ascii="Times New Roman" w:hAnsi="Times New Roman" w:eastAsia="仿宋_GB2312" w:cs="Times New Roman"/>
          <w:sz w:val="32"/>
          <w:szCs w:val="32"/>
          <w:highlight w:val="none"/>
          <w:u w:val="none"/>
          <w:lang w:bidi="ar"/>
        </w:rPr>
        <w:t>5</w:t>
      </w:r>
      <w:r>
        <w:rPr>
          <w:rFonts w:hint="eastAsia" w:ascii="仿宋_GB2312" w:hAnsi="仿宋_GB2312" w:eastAsia="仿宋_GB2312" w:cs="仿宋_GB2312"/>
          <w:sz w:val="32"/>
          <w:szCs w:val="32"/>
          <w:highlight w:val="none"/>
          <w:u w:val="none"/>
          <w:lang w:bidi="ar"/>
        </w:rPr>
        <w:t>年业绩，需提供近</w:t>
      </w:r>
      <w:r>
        <w:rPr>
          <w:rFonts w:hint="default" w:ascii="Times New Roman" w:hAnsi="Times New Roman" w:eastAsia="仿宋_GB2312" w:cs="Times New Roman"/>
          <w:sz w:val="32"/>
          <w:szCs w:val="32"/>
          <w:highlight w:val="none"/>
          <w:u w:val="none"/>
          <w:lang w:bidi="ar"/>
        </w:rPr>
        <w:t>5</w:t>
      </w:r>
      <w:r>
        <w:rPr>
          <w:rFonts w:hint="eastAsia" w:ascii="仿宋_GB2312" w:hAnsi="仿宋_GB2312" w:eastAsia="仿宋_GB2312" w:cs="仿宋_GB2312"/>
          <w:sz w:val="32"/>
          <w:szCs w:val="32"/>
          <w:highlight w:val="none"/>
          <w:u w:val="none"/>
          <w:lang w:bidi="ar"/>
        </w:rPr>
        <w:t>年</w:t>
      </w:r>
      <w:r>
        <w:rPr>
          <w:rFonts w:hint="eastAsia" w:ascii="仿宋_GB2312" w:hAnsi="仿宋_GB2312" w:eastAsia="仿宋_GB2312" w:cs="仿宋_GB2312"/>
          <w:sz w:val="32"/>
          <w:szCs w:val="32"/>
          <w:highlight w:val="none"/>
          <w:u w:val="none"/>
          <w:lang w:val="en-US" w:eastAsia="zh-CN" w:bidi="ar"/>
        </w:rPr>
        <w:t>投资</w:t>
      </w:r>
      <w:r>
        <w:rPr>
          <w:rFonts w:hint="eastAsia" w:ascii="仿宋_GB2312" w:hAnsi="仿宋_GB2312" w:eastAsia="仿宋_GB2312" w:cs="仿宋_GB2312"/>
          <w:sz w:val="32"/>
          <w:szCs w:val="32"/>
          <w:highlight w:val="none"/>
          <w:u w:val="none"/>
          <w:lang w:bidi="ar"/>
        </w:rPr>
        <w:t>业绩和成功案例，并提供相关证明材料。（</w:t>
      </w:r>
      <w:r>
        <w:rPr>
          <w:rFonts w:hint="default" w:ascii="Times New Roman" w:hAnsi="Times New Roman" w:eastAsia="仿宋_GB2312" w:cs="Times New Roman"/>
          <w:sz w:val="32"/>
          <w:szCs w:val="32"/>
          <w:highlight w:val="none"/>
          <w:u w:val="none"/>
          <w:lang w:bidi="ar"/>
        </w:rPr>
        <w:t>4</w:t>
      </w:r>
      <w:r>
        <w:rPr>
          <w:rFonts w:hint="eastAsia" w:ascii="仿宋_GB2312" w:hAnsi="仿宋_GB2312" w:eastAsia="仿宋_GB2312" w:cs="仿宋_GB2312"/>
          <w:sz w:val="32"/>
          <w:szCs w:val="32"/>
          <w:highlight w:val="none"/>
          <w:u w:val="none"/>
          <w:lang w:bidi="ar"/>
        </w:rPr>
        <w:t>）专职人员核心能力匹配方面，需列出近</w:t>
      </w:r>
      <w:r>
        <w:rPr>
          <w:rFonts w:hint="default" w:ascii="Times New Roman" w:hAnsi="Times New Roman" w:eastAsia="仿宋_GB2312" w:cs="Times New Roman"/>
          <w:sz w:val="32"/>
          <w:szCs w:val="32"/>
          <w:highlight w:val="none"/>
          <w:u w:val="none"/>
          <w:lang w:bidi="ar"/>
        </w:rPr>
        <w:t>5</w:t>
      </w:r>
      <w:r>
        <w:rPr>
          <w:rFonts w:hint="eastAsia" w:ascii="仿宋_GB2312" w:hAnsi="仿宋_GB2312" w:eastAsia="仿宋_GB2312" w:cs="仿宋_GB2312"/>
          <w:sz w:val="32"/>
          <w:szCs w:val="32"/>
          <w:highlight w:val="none"/>
          <w:u w:val="none"/>
          <w:lang w:bidi="ar"/>
        </w:rPr>
        <w:t>年在投资早期科</w:t>
      </w:r>
      <w:r>
        <w:rPr>
          <w:rFonts w:hint="eastAsia" w:ascii="仿宋_GB2312" w:hAnsi="仿宋_GB2312" w:eastAsia="仿宋_GB2312" w:cs="仿宋_GB2312"/>
          <w:sz w:val="32"/>
          <w:szCs w:val="32"/>
          <w:highlight w:val="none"/>
          <w:u w:val="none"/>
        </w:rPr>
        <w:t>技创新、科技成果转化项目、</w:t>
      </w:r>
      <w:r>
        <w:rPr>
          <w:rFonts w:hint="eastAsia" w:ascii="仿宋_GB2312" w:hAnsi="仿宋_GB2312" w:eastAsia="仿宋_GB2312" w:cs="仿宋_GB2312"/>
          <w:sz w:val="32"/>
          <w:szCs w:val="32"/>
          <w:highlight w:val="none"/>
          <w:u w:val="none"/>
          <w:lang w:bidi="ar"/>
        </w:rPr>
        <w:t>四川省“</w:t>
      </w:r>
      <w:r>
        <w:rPr>
          <w:rFonts w:hint="default" w:ascii="Times New Roman" w:hAnsi="Times New Roman" w:eastAsia="仿宋_GB2312" w:cs="Times New Roman"/>
          <w:sz w:val="32"/>
          <w:szCs w:val="32"/>
          <w:highlight w:val="none"/>
          <w:u w:val="none"/>
          <w:lang w:bidi="ar"/>
        </w:rPr>
        <w:t>6</w:t>
      </w:r>
      <w:r>
        <w:rPr>
          <w:rFonts w:hint="eastAsia" w:ascii="仿宋_GB2312" w:hAnsi="仿宋_GB2312" w:eastAsia="仿宋_GB2312" w:cs="仿宋_GB2312"/>
          <w:sz w:val="32"/>
          <w:szCs w:val="32"/>
          <w:highlight w:val="none"/>
          <w:u w:val="none"/>
          <w:lang w:bidi="ar"/>
        </w:rPr>
        <w:t>+</w:t>
      </w:r>
      <w:r>
        <w:rPr>
          <w:rFonts w:hint="default" w:ascii="Times New Roman" w:hAnsi="Times New Roman" w:eastAsia="仿宋_GB2312" w:cs="Times New Roman"/>
          <w:sz w:val="32"/>
          <w:szCs w:val="32"/>
          <w:highlight w:val="none"/>
          <w:u w:val="none"/>
          <w:lang w:bidi="ar"/>
        </w:rPr>
        <w:t>4</w:t>
      </w:r>
      <w:r>
        <w:rPr>
          <w:rFonts w:hint="eastAsia" w:ascii="仿宋_GB2312" w:hAnsi="仿宋_GB2312" w:eastAsia="仿宋_GB2312" w:cs="仿宋_GB2312"/>
          <w:sz w:val="32"/>
          <w:szCs w:val="32"/>
          <w:highlight w:val="none"/>
          <w:u w:val="none"/>
          <w:lang w:bidi="ar"/>
        </w:rPr>
        <w:t>+</w:t>
      </w:r>
      <w:r>
        <w:rPr>
          <w:rFonts w:hint="default" w:ascii="Times New Roman" w:hAnsi="Times New Roman" w:eastAsia="仿宋_GB2312" w:cs="Times New Roman"/>
          <w:sz w:val="32"/>
          <w:szCs w:val="32"/>
          <w:highlight w:val="none"/>
          <w:u w:val="none"/>
          <w:lang w:bidi="ar"/>
        </w:rPr>
        <w:t>3</w:t>
      </w:r>
      <w:r>
        <w:rPr>
          <w:rFonts w:hint="eastAsia" w:ascii="仿宋_GB2312" w:hAnsi="仿宋_GB2312" w:eastAsia="仿宋_GB2312" w:cs="仿宋_GB2312"/>
          <w:sz w:val="32"/>
          <w:szCs w:val="32"/>
          <w:highlight w:val="none"/>
          <w:u w:val="none"/>
          <w:lang w:bidi="ar"/>
        </w:rPr>
        <w:t>”</w:t>
      </w:r>
      <w:r>
        <w:rPr>
          <w:rFonts w:hint="eastAsia" w:ascii="仿宋_GB2312" w:hAnsi="仿宋_GB2312" w:eastAsia="仿宋_GB2312" w:cs="仿宋_GB2312"/>
          <w:sz w:val="32"/>
          <w:szCs w:val="32"/>
          <w:highlight w:val="none"/>
          <w:u w:val="none"/>
        </w:rPr>
        <w:t>重点产业领域的成功案例，以及为被投企业提供</w:t>
      </w:r>
      <w:r>
        <w:rPr>
          <w:rFonts w:hint="eastAsia" w:ascii="仿宋_GB2312" w:hAnsi="仿宋_GB2312" w:eastAsia="仿宋_GB2312" w:cs="仿宋_GB2312"/>
          <w:sz w:val="32"/>
          <w:szCs w:val="32"/>
          <w:highlight w:val="none"/>
          <w:u w:val="none"/>
          <w:lang w:bidi="ar"/>
        </w:rPr>
        <w:t>孵化培育赋能、支持企业成长、</w:t>
      </w:r>
      <w:r>
        <w:rPr>
          <w:rFonts w:hint="eastAsia" w:ascii="仿宋_GB2312" w:hAnsi="仿宋_GB2312" w:eastAsia="仿宋_GB2312" w:cs="仿宋_GB2312"/>
          <w:sz w:val="32"/>
          <w:szCs w:val="32"/>
          <w:highlight w:val="none"/>
          <w:u w:val="none"/>
        </w:rPr>
        <w:t>推动投资企业落地的成功案例和</w:t>
      </w:r>
      <w:r>
        <w:rPr>
          <w:rFonts w:hint="eastAsia" w:ascii="仿宋_GB2312" w:hAnsi="仿宋_GB2312" w:eastAsia="仿宋_GB2312" w:cs="仿宋_GB2312"/>
          <w:sz w:val="32"/>
          <w:szCs w:val="32"/>
          <w:highlight w:val="none"/>
          <w:u w:val="none"/>
          <w:lang w:bidi="ar"/>
        </w:rPr>
        <w:t>专职人员</w:t>
      </w:r>
      <w:r>
        <w:rPr>
          <w:rFonts w:hint="eastAsia" w:ascii="仿宋_GB2312" w:hAnsi="仿宋_GB2312" w:eastAsia="仿宋_GB2312" w:cs="仿宋_GB2312"/>
          <w:sz w:val="32"/>
          <w:szCs w:val="32"/>
          <w:highlight w:val="none"/>
          <w:u w:val="none"/>
        </w:rPr>
        <w:t>在其中</w:t>
      </w:r>
      <w:r>
        <w:rPr>
          <w:rFonts w:hint="eastAsia" w:ascii="仿宋_GB2312" w:hAnsi="仿宋_GB2312" w:eastAsia="仿宋_GB2312" w:cs="仿宋_GB2312"/>
          <w:sz w:val="32"/>
          <w:szCs w:val="32"/>
          <w:highlight w:val="none"/>
          <w:u w:val="none"/>
          <w:lang w:val="en-US" w:eastAsia="zh-CN"/>
        </w:rPr>
        <w:t>承担的</w:t>
      </w:r>
      <w:r>
        <w:rPr>
          <w:rFonts w:hint="eastAsia" w:ascii="仿宋_GB2312" w:hAnsi="仿宋_GB2312" w:eastAsia="仿宋_GB2312" w:cs="仿宋_GB2312"/>
          <w:sz w:val="32"/>
          <w:szCs w:val="32"/>
          <w:highlight w:val="none"/>
          <w:u w:val="none"/>
        </w:rPr>
        <w:t>角色和发挥的主要作用。相关案例需提供项目投资后估值增长、财务增长、投资退出收益等方面的证明材料。（</w:t>
      </w:r>
      <w:r>
        <w:rPr>
          <w:rFonts w:hint="default" w:ascii="Times New Roman" w:hAnsi="Times New Roman" w:eastAsia="仿宋_GB2312" w:cs="Times New Roman"/>
          <w:sz w:val="32"/>
          <w:szCs w:val="32"/>
          <w:highlight w:val="none"/>
          <w:u w:val="none"/>
        </w:rPr>
        <w:t>5</w:t>
      </w:r>
      <w:r>
        <w:rPr>
          <w:rFonts w:hint="eastAsia" w:ascii="仿宋_GB2312" w:hAnsi="仿宋_GB2312" w:eastAsia="仿宋_GB2312" w:cs="仿宋_GB2312"/>
          <w:sz w:val="32"/>
          <w:szCs w:val="32"/>
          <w:highlight w:val="none"/>
          <w:u w:val="none"/>
        </w:rPr>
        <w:t>）第一责任人满足</w:t>
      </w:r>
      <w:r>
        <w:rPr>
          <w:rFonts w:hint="eastAsia" w:ascii="___WRD_EMBED_SUB_39" w:hAnsi="___WRD_EMBED_SUB_39" w:eastAsia="___WRD_EMBED_SUB_39" w:cs="___WRD_EMBED_SUB_39"/>
          <w:sz w:val="32"/>
          <w:szCs w:val="32"/>
          <w:highlight w:val="none"/>
          <w:u w:val="none"/>
        </w:rPr>
        <w:t>相关要求的证明材</w:t>
      </w:r>
      <w:r>
        <w:rPr>
          <w:rFonts w:hint="eastAsia" w:ascii="仿宋_GB2312" w:hAnsi="仿宋_GB2312" w:eastAsia="仿宋_GB2312" w:cs="仿宋_GB2312"/>
          <w:sz w:val="32"/>
          <w:szCs w:val="32"/>
          <w:highlight w:val="none"/>
          <w:u w:val="none"/>
        </w:rPr>
        <w:t>料。（</w:t>
      </w:r>
      <w:r>
        <w:rPr>
          <w:rFonts w:hint="default" w:ascii="Times New Roman" w:hAnsi="Times New Roman" w:eastAsia="仿宋_GB2312" w:cs="Times New Roman"/>
          <w:sz w:val="32"/>
          <w:szCs w:val="32"/>
          <w:highlight w:val="none"/>
          <w:u w:val="none"/>
        </w:rPr>
        <w:t>6</w:t>
      </w:r>
      <w:r>
        <w:rPr>
          <w:rFonts w:hint="eastAsia" w:ascii="仿宋_GB2312" w:hAnsi="仿宋_GB2312" w:eastAsia="仿宋_GB2312" w:cs="仿宋_GB2312"/>
          <w:sz w:val="32"/>
          <w:szCs w:val="32"/>
          <w:highlight w:val="none"/>
          <w:u w:val="none"/>
        </w:rPr>
        <w:t>）基金管理机构与合作方联合参与基金管理</w:t>
      </w:r>
      <w:r>
        <w:rPr>
          <w:rFonts w:hint="eastAsia" w:ascii="仿宋_GB2312" w:hAnsi="仿宋_GB2312" w:eastAsia="仿宋_GB2312" w:cs="仿宋_GB2312"/>
          <w:sz w:val="32"/>
          <w:szCs w:val="32"/>
          <w:highlight w:val="none"/>
          <w:u w:val="none"/>
          <w:lang w:val="en-US" w:eastAsia="zh-CN"/>
        </w:rPr>
        <w:t>机构</w:t>
      </w:r>
      <w:r>
        <w:rPr>
          <w:rFonts w:hint="eastAsia" w:ascii="仿宋_GB2312" w:hAnsi="仿宋_GB2312" w:eastAsia="仿宋_GB2312" w:cs="仿宋_GB2312"/>
          <w:sz w:val="32"/>
          <w:szCs w:val="32"/>
          <w:highlight w:val="none"/>
          <w:u w:val="none"/>
        </w:rPr>
        <w:t>遴选，各方团队业绩可以累加但不可重复计算。</w:t>
      </w:r>
    </w:p>
    <w:p w14:paraId="718E063B">
      <w:pPr>
        <w:adjustRightInd w:val="0"/>
        <w:snapToGrid w:val="0"/>
        <w:spacing w:line="580" w:lineRule="exact"/>
        <w:ind w:firstLine="640"/>
        <w:rPr>
          <w:rFonts w:ascii="黑体" w:hAnsi="黑体" w:eastAsia="黑体" w:cs="黑体"/>
          <w:sz w:val="32"/>
          <w:szCs w:val="32"/>
          <w:highlight w:val="none"/>
          <w:u w:val="none"/>
        </w:rPr>
      </w:pPr>
      <w:r>
        <w:rPr>
          <w:rFonts w:hint="eastAsia" w:ascii="黑体" w:hAnsi="黑体" w:eastAsia="黑体" w:cs="黑体"/>
          <w:sz w:val="32"/>
          <w:szCs w:val="32"/>
          <w:highlight w:val="none"/>
          <w:u w:val="none"/>
        </w:rPr>
        <w:t>四、基金管理方案</w:t>
      </w:r>
    </w:p>
    <w:p w14:paraId="0AB7D782">
      <w:pPr>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基金方案主要内容包括但不限于：</w:t>
      </w:r>
    </w:p>
    <w:p w14:paraId="3F8E627D">
      <w:pPr>
        <w:adjustRightInd w:val="0"/>
        <w:snapToGrid w:val="0"/>
        <w:spacing w:line="580" w:lineRule="exact"/>
        <w:ind w:firstLine="64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（一）对本基金的设立目标、投资领域、运作理念、管理模式等方面的理解，以及本基金运营的短期、中期、长期目标及预期收益情况。</w:t>
      </w:r>
    </w:p>
    <w:p w14:paraId="3A7D53C2">
      <w:pPr>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二）基金管理方案。包括：基金方案整体架构，投资策略、投资计划、决策机制、风险控制机制、投后管理机制、信息披露机制及团队激励机制、退出机制；基金管理费方案及收益分配方案；子基金设立思路等。</w:t>
      </w:r>
    </w:p>
    <w:p w14:paraId="7E0AA0DA">
      <w:pPr>
        <w:pStyle w:val="13"/>
        <w:adjustRightInd/>
        <w:snapToGrid/>
        <w:spacing w:line="580" w:lineRule="exact"/>
        <w:ind w:firstLine="640" w:firstLineChars="200"/>
        <w:rPr>
          <w:rFonts w:hint="eastAsia" w:ascii="仿宋_GB2312" w:hAnsi="仿宋_GB2312" w:eastAsia="仿宋_GB2312" w:cs="仿宋_GB2312"/>
          <w:snapToGrid w:val="0"/>
          <w:kern w:val="0"/>
          <w:sz w:val="32"/>
          <w:szCs w:val="32"/>
          <w:highlight w:val="none"/>
          <w:u w:val="none"/>
          <w:lang w:eastAsia="zh-CN"/>
        </w:rPr>
      </w:pPr>
      <w:r>
        <w:rPr>
          <w:rFonts w:hint="eastAsia" w:ascii="仿宋_GB2312" w:hAnsi="仿宋_GB2312" w:eastAsia="仿宋_GB2312" w:cs="仿宋_GB2312"/>
          <w:sz w:val="32"/>
          <w:szCs w:val="32"/>
          <w:highlight w:val="none"/>
          <w:u w:val="none"/>
        </w:rPr>
        <w:t>（三）基金管理机构与基金理事会、基金管理委员会、出资人之间的工作协调机制。</w:t>
      </w:r>
      <w:r>
        <w:rPr>
          <w:rFonts w:hint="eastAsia" w:ascii="仿宋_GB2312" w:hAnsi="仿宋_GB2312" w:eastAsia="仿宋_GB2312" w:cs="仿宋_GB2312"/>
          <w:snapToGrid w:val="0"/>
          <w:kern w:val="0"/>
          <w:sz w:val="32"/>
          <w:szCs w:val="32"/>
          <w:highlight w:val="none"/>
          <w:u w:val="none"/>
          <w:lang w:val="en-US" w:eastAsia="zh-CN"/>
        </w:rPr>
        <w:t>管理机构须</w:t>
      </w:r>
      <w:r>
        <w:rPr>
          <w:rFonts w:hint="eastAsia" w:ascii="仿宋_GB2312" w:hAnsi="仿宋_GB2312" w:eastAsia="仿宋_GB2312" w:cs="仿宋_GB2312"/>
          <w:snapToGrid w:val="0"/>
          <w:kern w:val="0"/>
          <w:sz w:val="32"/>
          <w:szCs w:val="32"/>
          <w:highlight w:val="none"/>
          <w:u w:val="none"/>
        </w:rPr>
        <w:t>明确接受基金管理委员会</w:t>
      </w:r>
      <w:r>
        <w:rPr>
          <w:rFonts w:hint="eastAsia" w:ascii="仿宋_GB2312" w:hAnsi="仿宋_GB2312" w:eastAsia="仿宋_GB2312" w:cs="仿宋_GB2312"/>
          <w:snapToGrid w:val="0"/>
          <w:kern w:val="0"/>
          <w:sz w:val="32"/>
          <w:szCs w:val="32"/>
          <w:highlight w:val="none"/>
          <w:u w:val="none"/>
          <w:lang w:val="en-US" w:eastAsia="zh-CN"/>
        </w:rPr>
        <w:t>制定相应的</w:t>
      </w:r>
      <w:r>
        <w:rPr>
          <w:rFonts w:hint="eastAsia" w:ascii="仿宋_GB2312" w:hAnsi="仿宋_GB2312" w:eastAsia="仿宋_GB2312" w:cs="仿宋_GB2312"/>
          <w:snapToGrid w:val="0"/>
          <w:kern w:val="0"/>
          <w:sz w:val="32"/>
          <w:szCs w:val="32"/>
          <w:highlight w:val="none"/>
          <w:u w:val="none"/>
        </w:rPr>
        <w:t>监督与绩效考核管理</w:t>
      </w:r>
      <w:r>
        <w:rPr>
          <w:rFonts w:hint="eastAsia" w:ascii="仿宋_GB2312" w:hAnsi="仿宋_GB2312" w:eastAsia="仿宋_GB2312" w:cs="仿宋_GB2312"/>
          <w:snapToGrid w:val="0"/>
          <w:kern w:val="0"/>
          <w:sz w:val="32"/>
          <w:szCs w:val="32"/>
          <w:highlight w:val="none"/>
          <w:u w:val="none"/>
          <w:lang w:val="en-US" w:eastAsia="zh-CN"/>
        </w:rPr>
        <w:t>制度</w:t>
      </w:r>
      <w:r>
        <w:rPr>
          <w:rFonts w:hint="eastAsia" w:ascii="仿宋_GB2312" w:hAnsi="仿宋_GB2312" w:eastAsia="仿宋_GB2312" w:cs="仿宋_GB2312"/>
          <w:snapToGrid w:val="0"/>
          <w:kern w:val="0"/>
          <w:sz w:val="32"/>
          <w:szCs w:val="32"/>
          <w:highlight w:val="none"/>
          <w:u w:val="none"/>
          <w:lang w:eastAsia="zh-CN"/>
        </w:rPr>
        <w:t>，</w:t>
      </w:r>
      <w:r>
        <w:rPr>
          <w:rFonts w:hint="eastAsia" w:ascii="仿宋_GB2312" w:hAnsi="仿宋_GB2312" w:eastAsia="仿宋_GB2312" w:cs="仿宋_GB2312"/>
          <w:snapToGrid w:val="0"/>
          <w:kern w:val="0"/>
          <w:sz w:val="32"/>
          <w:szCs w:val="32"/>
          <w:highlight w:val="none"/>
          <w:u w:val="none"/>
          <w:lang w:val="en-US" w:eastAsia="zh-CN"/>
        </w:rPr>
        <w:t>对基金管理机构的日常运作进行监督和考核，同意</w:t>
      </w:r>
      <w:r>
        <w:rPr>
          <w:rFonts w:hint="eastAsia" w:ascii="仿宋_GB2312" w:hAnsi="仿宋_GB2312" w:eastAsia="仿宋_GB2312" w:cs="仿宋_GB2312"/>
          <w:snapToGrid w:val="0"/>
          <w:kern w:val="0"/>
          <w:sz w:val="32"/>
          <w:szCs w:val="32"/>
          <w:highlight w:val="none"/>
          <w:u w:val="none"/>
        </w:rPr>
        <w:t>基金管理费与年度绩效考核结果挂钩</w:t>
      </w:r>
      <w:r>
        <w:rPr>
          <w:rFonts w:hint="eastAsia" w:ascii="仿宋_GB2312" w:hAnsi="仿宋_GB2312" w:eastAsia="仿宋_GB2312" w:cs="仿宋_GB2312"/>
          <w:snapToGrid w:val="0"/>
          <w:kern w:val="0"/>
          <w:sz w:val="32"/>
          <w:szCs w:val="32"/>
          <w:highlight w:val="none"/>
          <w:u w:val="none"/>
          <w:lang w:eastAsia="zh-CN"/>
        </w:rPr>
        <w:t>。</w:t>
      </w:r>
    </w:p>
    <w:p w14:paraId="76B325A8">
      <w:pPr>
        <w:adjustRightInd w:val="0"/>
        <w:snapToGrid w:val="0"/>
        <w:spacing w:line="580" w:lineRule="exact"/>
        <w:ind w:firstLine="640"/>
        <w:rPr>
          <w:rFonts w:ascii="仿宋_GB2312" w:hAnsi="仿宋_GB2312" w:eastAsia="仿宋_GB2312" w:cs="仿宋_GB2312"/>
          <w:sz w:val="32"/>
          <w:szCs w:val="32"/>
          <w:highlight w:val="none"/>
          <w:u w:val="none"/>
          <w:lang w:bidi="ar"/>
        </w:rPr>
      </w:pPr>
      <w:r>
        <w:rPr>
          <w:rFonts w:hint="eastAsia" w:ascii="仿宋_GB2312" w:hAnsi="仿宋_GB2312" w:eastAsia="仿宋_GB2312" w:cs="仿宋_GB2312"/>
          <w:sz w:val="32"/>
          <w:szCs w:val="32"/>
          <w:highlight w:val="none"/>
          <w:u w:val="none"/>
          <w:lang w:bidi="ar"/>
        </w:rPr>
        <w:t>（四）根据基金设立的目标定位，通过基金促进高校、科研院所科技成果转化，以及结合四川省重点产业发展需求，通过基金为四川省培育、引入支撑产业升级发展的科技项目的明确思路和计划。</w:t>
      </w:r>
    </w:p>
    <w:p w14:paraId="2D924DCC">
      <w:pPr>
        <w:adjustRightInd w:val="0"/>
        <w:snapToGrid w:val="0"/>
        <w:spacing w:line="580" w:lineRule="exact"/>
        <w:ind w:firstLine="640"/>
        <w:rPr>
          <w:rFonts w:ascii="仿宋_GB2312" w:hAnsi="仿宋_GB2312" w:eastAsia="仿宋_GB2312" w:cs="仿宋_GB2312"/>
          <w:sz w:val="32"/>
          <w:szCs w:val="32"/>
          <w:highlight w:val="none"/>
          <w:u w:val="none"/>
          <w:lang w:bidi="ar"/>
        </w:rPr>
      </w:pPr>
      <w:r>
        <w:rPr>
          <w:rFonts w:hint="eastAsia" w:ascii="仿宋_GB2312" w:hAnsi="仿宋_GB2312" w:eastAsia="仿宋_GB2312" w:cs="仿宋_GB2312"/>
          <w:sz w:val="32"/>
          <w:szCs w:val="32"/>
          <w:highlight w:val="none"/>
          <w:u w:val="none"/>
          <w:lang w:bidi="ar"/>
        </w:rPr>
        <w:t>（五）管理机构其他在管基金与本基金的潜在利益冲突和解决方案。</w:t>
      </w:r>
    </w:p>
    <w:p w14:paraId="27FB9558">
      <w:pPr>
        <w:adjustRightInd w:val="0"/>
        <w:snapToGrid w:val="0"/>
        <w:spacing w:line="580" w:lineRule="exact"/>
        <w:ind w:firstLine="640"/>
        <w:rPr>
          <w:rFonts w:ascii="仿宋_GB2312" w:hAnsi="仿宋_GB2312" w:eastAsia="仿宋_GB2312" w:cs="仿宋_GB2312"/>
          <w:sz w:val="32"/>
          <w:szCs w:val="32"/>
          <w:highlight w:val="none"/>
          <w:u w:val="none"/>
          <w:lang w:bidi="ar"/>
        </w:rPr>
      </w:pPr>
      <w:r>
        <w:rPr>
          <w:rFonts w:hint="eastAsia" w:ascii="仿宋_GB2312" w:hAnsi="仿宋_GB2312" w:eastAsia="仿宋_GB2312" w:cs="仿宋_GB2312"/>
          <w:sz w:val="32"/>
          <w:szCs w:val="32"/>
          <w:highlight w:val="none"/>
          <w:u w:val="none"/>
          <w:lang w:bidi="ar"/>
        </w:rPr>
        <w:t>（六)储备项目和储备子基金情况。储备项目基本情况，包括项目来源、企业名称、主营业务、企业所处发展阶段、投资亮点等；储备子基金基本情况，包括子基金定位、规模、投资方向、募集对象、投资优势、返投条件等。</w:t>
      </w:r>
    </w:p>
    <w:p w14:paraId="5A3B44B2">
      <w:pPr>
        <w:pStyle w:val="13"/>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（七）基金管理机构与合作方联合参与基</w:t>
      </w:r>
      <w:r>
        <w:rPr>
          <w:rFonts w:hint="eastAsia" w:ascii="仿宋_GB2312" w:hAnsi="仿宋_GB2312" w:eastAsia="仿宋_GB2312" w:cs="仿宋_GB2312"/>
          <w:sz w:val="32"/>
          <w:szCs w:val="32"/>
          <w:highlight w:val="none"/>
          <w:u w:val="none"/>
          <w:lang w:bidi="ar"/>
        </w:rPr>
        <w:t>金管理</w:t>
      </w:r>
      <w:r>
        <w:rPr>
          <w:rFonts w:hint="eastAsia" w:ascii="仿宋_GB2312" w:hAnsi="仿宋_GB2312" w:eastAsia="仿宋_GB2312" w:cs="仿宋_GB2312"/>
          <w:sz w:val="32"/>
          <w:szCs w:val="32"/>
          <w:highlight w:val="none"/>
          <w:u w:val="none"/>
          <w:lang w:val="en-US" w:eastAsia="zh-CN" w:bidi="ar"/>
        </w:rPr>
        <w:t>机构</w:t>
      </w:r>
      <w:r>
        <w:rPr>
          <w:rFonts w:hint="eastAsia" w:ascii="仿宋_GB2312" w:hAnsi="仿宋_GB2312" w:eastAsia="仿宋_GB2312" w:cs="仿宋_GB2312"/>
          <w:sz w:val="32"/>
          <w:szCs w:val="32"/>
          <w:highlight w:val="none"/>
          <w:u w:val="none"/>
        </w:rPr>
        <w:t>遴选，需要在申报材料中提供符合中基协等监管机构规定的联合参与模式，包括但不限于：联合管理方案、各方权利、职责划分等材料，且根据</w:t>
      </w:r>
      <w:r>
        <w:rPr>
          <w:rFonts w:hint="eastAsia" w:ascii="仿宋_GB2312" w:hAnsi="仿宋_GB2312" w:eastAsia="仿宋_GB2312" w:cs="仿宋_GB2312"/>
          <w:sz w:val="32"/>
          <w:szCs w:val="32"/>
          <w:highlight w:val="none"/>
          <w:u w:val="none"/>
          <w:lang w:val="en-US" w:eastAsia="zh-CN"/>
        </w:rPr>
        <w:t>中</w:t>
      </w:r>
      <w:r>
        <w:rPr>
          <w:rFonts w:hint="eastAsia" w:ascii="仿宋_GB2312" w:hAnsi="仿宋_GB2312" w:eastAsia="仿宋_GB2312" w:cs="仿宋_GB2312"/>
          <w:sz w:val="32"/>
          <w:szCs w:val="32"/>
          <w:highlight w:val="none"/>
          <w:u w:val="none"/>
        </w:rPr>
        <w:t>基协新规明确非基金管理</w:t>
      </w:r>
      <w:r>
        <w:rPr>
          <w:rFonts w:hint="eastAsia" w:ascii="仿宋_GB2312" w:hAnsi="仿宋_GB2312" w:eastAsia="仿宋_GB2312" w:cs="仿宋_GB2312"/>
          <w:sz w:val="32"/>
          <w:szCs w:val="32"/>
          <w:highlight w:val="none"/>
          <w:u w:val="none"/>
          <w:lang w:val="en-US" w:eastAsia="zh-CN"/>
        </w:rPr>
        <w:t>机构</w:t>
      </w:r>
      <w:r>
        <w:rPr>
          <w:rFonts w:hint="eastAsia" w:ascii="仿宋_GB2312" w:hAnsi="仿宋_GB2312" w:eastAsia="仿宋_GB2312" w:cs="仿宋_GB2312"/>
          <w:sz w:val="32"/>
          <w:szCs w:val="32"/>
          <w:highlight w:val="none"/>
          <w:u w:val="none"/>
        </w:rPr>
        <w:t>的GP不得以任何方式收取管理费。</w:t>
      </w:r>
    </w:p>
    <w:p w14:paraId="64F5896C">
      <w:pPr>
        <w:adjustRightInd w:val="0"/>
        <w:snapToGrid w:val="0"/>
        <w:spacing w:line="580" w:lineRule="exact"/>
        <w:ind w:firstLine="640"/>
        <w:rPr>
          <w:rFonts w:ascii="仿宋_GB2312" w:hAnsi="仿宋_GB2312" w:eastAsia="仿宋_GB2312" w:cs="仿宋_GB2312"/>
          <w:sz w:val="32"/>
          <w:szCs w:val="32"/>
          <w:highlight w:val="none"/>
          <w:u w:val="none"/>
          <w:lang w:bidi="ar"/>
        </w:rPr>
      </w:pPr>
    </w:p>
    <w:p w14:paraId="486DB62B">
      <w:pPr>
        <w:widowControl/>
        <w:adjustRightInd w:val="0"/>
        <w:snapToGrid w:val="0"/>
        <w:spacing w:line="580" w:lineRule="exact"/>
        <w:jc w:val="left"/>
        <w:rPr>
          <w:rFonts w:ascii="仿宋_GB2312" w:hAnsi="仿宋_GB2312" w:eastAsia="仿宋_GB2312" w:cs="仿宋_GB2312"/>
          <w:sz w:val="32"/>
          <w:szCs w:val="32"/>
          <w:highlight w:val="none"/>
          <w:u w:val="none"/>
        </w:rPr>
        <w:sectPr>
          <w:headerReference r:id="rId3" w:type="default"/>
          <w:footerReference r:id="rId4" w:type="default"/>
          <w:pgSz w:w="11906" w:h="16838"/>
          <w:pgMar w:top="2041" w:right="1474" w:bottom="1928" w:left="1587" w:header="851" w:footer="992" w:gutter="0"/>
          <w:pgNumType w:fmt="decimal"/>
          <w:cols w:space="425" w:num="1"/>
          <w:docGrid w:type="lines" w:linePitch="312" w:charSpace="0"/>
        </w:sectPr>
      </w:pPr>
      <w:r>
        <w:rPr>
          <w:rFonts w:ascii="仿宋_GB2312" w:hAnsi="仿宋_GB2312" w:eastAsia="仿宋_GB2312" w:cs="仿宋_GB2312"/>
          <w:sz w:val="32"/>
          <w:szCs w:val="32"/>
          <w:highlight w:val="none"/>
          <w:u w:val="none"/>
        </w:rPr>
        <w:br w:type="page"/>
      </w:r>
    </w:p>
    <w:tbl>
      <w:tblPr>
        <w:tblStyle w:val="10"/>
        <w:tblW w:w="14516" w:type="dxa"/>
        <w:jc w:val="center"/>
        <w:tblLayout w:type="fixed"/>
        <w:tblCellMar>
          <w:top w:w="0" w:type="dxa"/>
          <w:left w:w="108" w:type="dxa"/>
          <w:bottom w:w="0" w:type="dxa"/>
          <w:right w:w="108" w:type="dxa"/>
        </w:tblCellMar>
      </w:tblPr>
      <w:tblGrid>
        <w:gridCol w:w="1008"/>
        <w:gridCol w:w="952"/>
        <w:gridCol w:w="1162"/>
        <w:gridCol w:w="944"/>
        <w:gridCol w:w="582"/>
        <w:gridCol w:w="770"/>
        <w:gridCol w:w="489"/>
        <w:gridCol w:w="525"/>
        <w:gridCol w:w="759"/>
        <w:gridCol w:w="397"/>
        <w:gridCol w:w="443"/>
        <w:gridCol w:w="397"/>
        <w:gridCol w:w="469"/>
        <w:gridCol w:w="578"/>
        <w:gridCol w:w="443"/>
        <w:gridCol w:w="578"/>
        <w:gridCol w:w="479"/>
        <w:gridCol w:w="462"/>
        <w:gridCol w:w="715"/>
        <w:gridCol w:w="628"/>
        <w:gridCol w:w="616"/>
        <w:gridCol w:w="462"/>
        <w:gridCol w:w="658"/>
      </w:tblGrid>
      <w:tr w14:paraId="24E0C8A1">
        <w:tblPrEx>
          <w:tblCellMar>
            <w:top w:w="0" w:type="dxa"/>
            <w:left w:w="108" w:type="dxa"/>
            <w:bottom w:w="0" w:type="dxa"/>
            <w:right w:w="108" w:type="dxa"/>
          </w:tblCellMar>
        </w:tblPrEx>
        <w:trPr>
          <w:trHeight w:val="730" w:hRule="atLeast"/>
          <w:jc w:val="center"/>
        </w:trPr>
        <w:tc>
          <w:tcPr>
            <w:tcW w:w="14516" w:type="dxa"/>
            <w:gridSpan w:val="23"/>
            <w:tcBorders>
              <w:top w:val="nil"/>
              <w:left w:val="nil"/>
              <w:bottom w:val="nil"/>
              <w:right w:val="nil"/>
            </w:tcBorders>
            <w:shd w:val="clear" w:color="auto" w:fill="auto"/>
            <w:vAlign w:val="center"/>
          </w:tcPr>
          <w:p w14:paraId="1494D0BB">
            <w:pPr>
              <w:widowControl/>
              <w:jc w:val="center"/>
              <w:rPr>
                <w:rFonts w:ascii="黑体" w:hAnsi="黑体" w:eastAsia="黑体" w:cs="黑体"/>
                <w:kern w:val="0"/>
                <w:szCs w:val="21"/>
                <w:highlight w:val="none"/>
                <w:u w:val="none"/>
              </w:rPr>
            </w:pPr>
            <w:r>
              <w:rPr>
                <w:rFonts w:hint="eastAsia" w:ascii="黑体" w:hAnsi="黑体" w:eastAsia="黑体" w:cs="黑体"/>
                <w:kern w:val="0"/>
                <w:szCs w:val="21"/>
                <w:highlight w:val="none"/>
                <w:u w:val="none"/>
              </w:rPr>
              <w:t>近</w:t>
            </w:r>
            <w:r>
              <w:rPr>
                <w:rFonts w:hint="default" w:ascii="Times New Roman" w:hAnsi="Times New Roman" w:eastAsia="黑体" w:cs="Times New Roman"/>
                <w:kern w:val="0"/>
                <w:szCs w:val="21"/>
                <w:highlight w:val="none"/>
                <w:u w:val="none"/>
              </w:rPr>
              <w:t>5</w:t>
            </w:r>
            <w:r>
              <w:rPr>
                <w:rFonts w:hint="eastAsia" w:ascii="黑体" w:hAnsi="黑体" w:eastAsia="黑体" w:cs="黑体"/>
                <w:kern w:val="0"/>
                <w:szCs w:val="21"/>
                <w:highlight w:val="none"/>
                <w:u w:val="none"/>
              </w:rPr>
              <w:t>年管理基金业绩表（样表）</w:t>
            </w:r>
          </w:p>
          <w:p w14:paraId="06B5F90A">
            <w:pPr>
              <w:widowControl/>
              <w:jc w:val="center"/>
              <w:rPr>
                <w:rFonts w:ascii="宋体" w:hAnsi="宋体" w:eastAsia="宋体" w:cs="宋体"/>
                <w:b/>
                <w:bCs/>
                <w:kern w:val="0"/>
                <w:szCs w:val="21"/>
                <w:highlight w:val="none"/>
                <w:u w:val="none"/>
              </w:rPr>
            </w:pPr>
            <w:r>
              <w:rPr>
                <w:rFonts w:hint="eastAsia" w:ascii="宋体" w:hAnsi="宋体" w:eastAsia="宋体" w:cs="宋体"/>
                <w:kern w:val="0"/>
                <w:szCs w:val="21"/>
                <w:highlight w:val="none"/>
                <w:u w:val="none"/>
              </w:rPr>
              <w:t>（截止</w:t>
            </w:r>
            <w:r>
              <w:rPr>
                <w:rFonts w:hint="default" w:ascii="Times New Roman" w:hAnsi="Times New Roman" w:eastAsia="宋体" w:cs="Times New Roman"/>
                <w:kern w:val="0"/>
                <w:szCs w:val="21"/>
                <w:highlight w:val="none"/>
                <w:u w:val="none"/>
              </w:rPr>
              <w:t>2024</w:t>
            </w:r>
            <w:r>
              <w:rPr>
                <w:rFonts w:hint="eastAsia" w:ascii="宋体" w:hAnsi="宋体" w:eastAsia="宋体" w:cs="宋体"/>
                <w:kern w:val="0"/>
                <w:szCs w:val="21"/>
                <w:highlight w:val="none"/>
                <w:u w:val="none"/>
              </w:rPr>
              <w:t>年</w:t>
            </w:r>
            <w:r>
              <w:rPr>
                <w:rFonts w:hint="default" w:ascii="Times New Roman" w:hAnsi="Times New Roman" w:eastAsia="宋体" w:cs="Times New Roman"/>
                <w:kern w:val="0"/>
                <w:szCs w:val="21"/>
                <w:highlight w:val="none"/>
                <w:u w:val="none"/>
              </w:rPr>
              <w:t>6</w:t>
            </w:r>
            <w:r>
              <w:rPr>
                <w:rFonts w:hint="eastAsia" w:ascii="宋体" w:hAnsi="宋体" w:eastAsia="宋体" w:cs="宋体"/>
                <w:kern w:val="0"/>
                <w:szCs w:val="21"/>
                <w:highlight w:val="none"/>
                <w:u w:val="none"/>
              </w:rPr>
              <w:t>月</w:t>
            </w:r>
            <w:r>
              <w:rPr>
                <w:rFonts w:hint="default" w:ascii="Times New Roman" w:hAnsi="Times New Roman" w:eastAsia="宋体" w:cs="Times New Roman"/>
                <w:kern w:val="0"/>
                <w:szCs w:val="21"/>
                <w:highlight w:val="none"/>
                <w:u w:val="none"/>
              </w:rPr>
              <w:t>30</w:t>
            </w:r>
            <w:r>
              <w:rPr>
                <w:rFonts w:hint="eastAsia" w:ascii="宋体" w:hAnsi="宋体" w:eastAsia="宋体" w:cs="宋体"/>
                <w:kern w:val="0"/>
                <w:szCs w:val="21"/>
                <w:highlight w:val="none"/>
                <w:u w:val="none"/>
              </w:rPr>
              <w:t>日）</w:t>
            </w:r>
          </w:p>
        </w:tc>
      </w:tr>
      <w:tr w14:paraId="2DD00838">
        <w:tblPrEx>
          <w:tblCellMar>
            <w:top w:w="0" w:type="dxa"/>
            <w:left w:w="108" w:type="dxa"/>
            <w:bottom w:w="0" w:type="dxa"/>
            <w:right w:w="108" w:type="dxa"/>
          </w:tblCellMar>
        </w:tblPrEx>
        <w:trPr>
          <w:trHeight w:val="330" w:hRule="atLeast"/>
          <w:jc w:val="center"/>
        </w:trPr>
        <w:tc>
          <w:tcPr>
            <w:tcW w:w="14516" w:type="dxa"/>
            <w:gridSpan w:val="23"/>
            <w:tcBorders>
              <w:top w:val="nil"/>
              <w:left w:val="nil"/>
              <w:bottom w:val="single" w:color="auto" w:sz="4" w:space="0"/>
              <w:right w:val="nil"/>
            </w:tcBorders>
            <w:shd w:val="clear" w:color="auto" w:fill="auto"/>
            <w:noWrap/>
            <w:vAlign w:val="center"/>
          </w:tcPr>
          <w:p w14:paraId="4F9741B4">
            <w:pPr>
              <w:widowControl/>
              <w:jc w:val="right"/>
              <w:rPr>
                <w:rFonts w:ascii="宋体" w:hAnsi="宋体" w:eastAsia="宋体" w:cs="宋体"/>
                <w:kern w:val="0"/>
                <w:sz w:val="18"/>
                <w:szCs w:val="18"/>
                <w:highlight w:val="none"/>
                <w:u w:val="none"/>
              </w:rPr>
            </w:pPr>
            <w:r>
              <w:rPr>
                <w:rFonts w:hint="eastAsia" w:ascii="宋体" w:hAnsi="宋体" w:eastAsia="宋体" w:cs="宋体"/>
                <w:kern w:val="0"/>
                <w:sz w:val="18"/>
                <w:szCs w:val="18"/>
                <w:highlight w:val="none"/>
                <w:u w:val="none"/>
              </w:rPr>
              <w:t>单位：万元</w:t>
            </w:r>
          </w:p>
        </w:tc>
      </w:tr>
      <w:tr w14:paraId="68B0AD5A">
        <w:tblPrEx>
          <w:tblCellMar>
            <w:top w:w="0" w:type="dxa"/>
            <w:left w:w="108" w:type="dxa"/>
            <w:bottom w:w="0" w:type="dxa"/>
            <w:right w:w="108" w:type="dxa"/>
          </w:tblCellMar>
        </w:tblPrEx>
        <w:trPr>
          <w:trHeight w:val="710" w:hRule="atLeast"/>
          <w:jc w:val="center"/>
        </w:trPr>
        <w:tc>
          <w:tcPr>
            <w:tcW w:w="1008" w:type="dxa"/>
            <w:vMerge w:val="restart"/>
            <w:tcBorders>
              <w:top w:val="nil"/>
              <w:left w:val="single" w:color="auto" w:sz="4" w:space="0"/>
              <w:bottom w:val="single" w:color="auto" w:sz="4" w:space="0"/>
              <w:right w:val="single" w:color="auto" w:sz="4" w:space="0"/>
            </w:tcBorders>
            <w:shd w:val="clear" w:color="auto" w:fill="auto"/>
            <w:vAlign w:val="center"/>
          </w:tcPr>
          <w:p w14:paraId="51944695">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基金名称</w:t>
            </w:r>
          </w:p>
        </w:tc>
        <w:tc>
          <w:tcPr>
            <w:tcW w:w="952" w:type="dxa"/>
            <w:vMerge w:val="restart"/>
            <w:tcBorders>
              <w:top w:val="nil"/>
              <w:left w:val="single" w:color="auto" w:sz="4" w:space="0"/>
              <w:bottom w:val="single" w:color="auto" w:sz="4" w:space="0"/>
              <w:right w:val="single" w:color="auto" w:sz="4" w:space="0"/>
            </w:tcBorders>
            <w:shd w:val="clear" w:color="auto" w:fill="auto"/>
            <w:vAlign w:val="center"/>
          </w:tcPr>
          <w:p w14:paraId="26DCE23D">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设立时间</w:t>
            </w:r>
          </w:p>
        </w:tc>
        <w:tc>
          <w:tcPr>
            <w:tcW w:w="1162" w:type="dxa"/>
            <w:vMerge w:val="restart"/>
            <w:tcBorders>
              <w:top w:val="nil"/>
              <w:left w:val="single" w:color="auto" w:sz="4" w:space="0"/>
              <w:bottom w:val="single" w:color="auto" w:sz="4" w:space="0"/>
              <w:right w:val="single" w:color="auto" w:sz="4" w:space="0"/>
            </w:tcBorders>
            <w:shd w:val="clear" w:color="auto" w:fill="auto"/>
            <w:vAlign w:val="center"/>
          </w:tcPr>
          <w:p w14:paraId="6AD82DD5">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经营期限</w:t>
            </w:r>
          </w:p>
        </w:tc>
        <w:tc>
          <w:tcPr>
            <w:tcW w:w="944" w:type="dxa"/>
            <w:vMerge w:val="restart"/>
            <w:tcBorders>
              <w:top w:val="nil"/>
              <w:left w:val="single" w:color="auto" w:sz="4" w:space="0"/>
              <w:bottom w:val="single" w:color="auto" w:sz="4" w:space="0"/>
              <w:right w:val="single" w:color="auto" w:sz="4" w:space="0"/>
            </w:tcBorders>
            <w:shd w:val="clear" w:color="auto" w:fill="auto"/>
            <w:vAlign w:val="center"/>
          </w:tcPr>
          <w:p w14:paraId="1AC1CEA8">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基金管理</w:t>
            </w:r>
            <w:r>
              <w:rPr>
                <w:rFonts w:hint="eastAsia" w:ascii="楷体_GB2312" w:hAnsi="楷体_GB2312" w:eastAsia="楷体_GB2312" w:cs="楷体_GB2312"/>
                <w:b/>
                <w:bCs/>
                <w:kern w:val="0"/>
                <w:sz w:val="18"/>
                <w:szCs w:val="18"/>
                <w:highlight w:val="none"/>
                <w:u w:val="none"/>
                <w:lang w:val="en-US" w:eastAsia="zh-CN"/>
              </w:rPr>
              <w:t>机构</w:t>
            </w:r>
            <w:r>
              <w:rPr>
                <w:rFonts w:hint="eastAsia" w:ascii="楷体_GB2312" w:hAnsi="楷体_GB2312" w:eastAsia="楷体_GB2312" w:cs="楷体_GB2312"/>
                <w:b/>
                <w:bCs/>
                <w:kern w:val="0"/>
                <w:sz w:val="18"/>
                <w:szCs w:val="18"/>
                <w:highlight w:val="none"/>
                <w:u w:val="none"/>
              </w:rPr>
              <w:t>、GP</w:t>
            </w:r>
          </w:p>
        </w:tc>
        <w:tc>
          <w:tcPr>
            <w:tcW w:w="582" w:type="dxa"/>
            <w:vMerge w:val="restart"/>
            <w:tcBorders>
              <w:top w:val="nil"/>
              <w:left w:val="single" w:color="auto" w:sz="4" w:space="0"/>
              <w:bottom w:val="single" w:color="auto" w:sz="4" w:space="0"/>
              <w:right w:val="single" w:color="auto" w:sz="4" w:space="0"/>
            </w:tcBorders>
            <w:shd w:val="clear" w:color="auto" w:fill="auto"/>
            <w:vAlign w:val="center"/>
          </w:tcPr>
          <w:p w14:paraId="72FAAFEE">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基金投向</w:t>
            </w:r>
          </w:p>
        </w:tc>
        <w:tc>
          <w:tcPr>
            <w:tcW w:w="770" w:type="dxa"/>
            <w:vMerge w:val="restart"/>
            <w:tcBorders>
              <w:top w:val="nil"/>
              <w:left w:val="single" w:color="auto" w:sz="4" w:space="0"/>
              <w:bottom w:val="single" w:color="auto" w:sz="4" w:space="0"/>
              <w:right w:val="single" w:color="auto" w:sz="4" w:space="0"/>
            </w:tcBorders>
            <w:shd w:val="clear" w:color="auto" w:fill="auto"/>
            <w:vAlign w:val="center"/>
          </w:tcPr>
          <w:p w14:paraId="7277E4B2">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是否</w:t>
            </w:r>
          </w:p>
          <w:p w14:paraId="1B2682B3">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投资期</w:t>
            </w:r>
          </w:p>
        </w:tc>
        <w:tc>
          <w:tcPr>
            <w:tcW w:w="489" w:type="dxa"/>
            <w:vMerge w:val="restart"/>
            <w:tcBorders>
              <w:top w:val="nil"/>
              <w:left w:val="single" w:color="auto" w:sz="4" w:space="0"/>
              <w:bottom w:val="single" w:color="auto" w:sz="4" w:space="0"/>
              <w:right w:val="single" w:color="auto" w:sz="4" w:space="0"/>
            </w:tcBorders>
            <w:shd w:val="clear" w:color="auto" w:fill="auto"/>
            <w:vAlign w:val="center"/>
          </w:tcPr>
          <w:p w14:paraId="7D841C91">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认缴规模</w:t>
            </w:r>
          </w:p>
        </w:tc>
        <w:tc>
          <w:tcPr>
            <w:tcW w:w="525" w:type="dxa"/>
            <w:vMerge w:val="restart"/>
            <w:tcBorders>
              <w:top w:val="nil"/>
              <w:left w:val="single" w:color="auto" w:sz="4" w:space="0"/>
              <w:bottom w:val="single" w:color="auto" w:sz="4" w:space="0"/>
              <w:right w:val="single" w:color="auto" w:sz="4" w:space="0"/>
            </w:tcBorders>
            <w:shd w:val="clear" w:color="auto" w:fill="auto"/>
            <w:vAlign w:val="center"/>
          </w:tcPr>
          <w:p w14:paraId="40C64973">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实缴规模</w:t>
            </w:r>
          </w:p>
        </w:tc>
        <w:tc>
          <w:tcPr>
            <w:tcW w:w="759" w:type="dxa"/>
            <w:vMerge w:val="restart"/>
            <w:tcBorders>
              <w:top w:val="nil"/>
              <w:left w:val="single" w:color="auto" w:sz="4" w:space="0"/>
              <w:bottom w:val="single" w:color="auto" w:sz="4" w:space="0"/>
              <w:right w:val="single" w:color="auto" w:sz="4" w:space="0"/>
            </w:tcBorders>
            <w:shd w:val="clear" w:color="auto" w:fill="auto"/>
            <w:vAlign w:val="center"/>
          </w:tcPr>
          <w:p w14:paraId="673E9984">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主要出资人（LP）</w:t>
            </w:r>
          </w:p>
        </w:tc>
        <w:tc>
          <w:tcPr>
            <w:tcW w:w="397" w:type="dxa"/>
            <w:vMerge w:val="restart"/>
            <w:tcBorders>
              <w:top w:val="nil"/>
              <w:left w:val="single" w:color="auto" w:sz="4" w:space="0"/>
              <w:bottom w:val="single" w:color="auto" w:sz="4" w:space="0"/>
              <w:right w:val="single" w:color="auto" w:sz="4" w:space="0"/>
            </w:tcBorders>
            <w:shd w:val="clear" w:color="auto" w:fill="auto"/>
            <w:vAlign w:val="center"/>
          </w:tcPr>
          <w:p w14:paraId="4F4B81F8">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基金</w:t>
            </w:r>
          </w:p>
          <w:p w14:paraId="79238A37">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累计已投资项目个数</w:t>
            </w:r>
          </w:p>
        </w:tc>
        <w:tc>
          <w:tcPr>
            <w:tcW w:w="443" w:type="dxa"/>
            <w:vMerge w:val="restart"/>
            <w:tcBorders>
              <w:top w:val="nil"/>
              <w:left w:val="single" w:color="auto" w:sz="4" w:space="0"/>
              <w:bottom w:val="single" w:color="auto" w:sz="4" w:space="0"/>
              <w:right w:val="single" w:color="auto" w:sz="4" w:space="0"/>
            </w:tcBorders>
            <w:shd w:val="clear" w:color="auto" w:fill="auto"/>
            <w:vAlign w:val="center"/>
          </w:tcPr>
          <w:p w14:paraId="23270E5E">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基金</w:t>
            </w:r>
          </w:p>
          <w:p w14:paraId="5395E17D">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累计已投资项目金额</w:t>
            </w:r>
          </w:p>
        </w:tc>
        <w:tc>
          <w:tcPr>
            <w:tcW w:w="2465" w:type="dxa"/>
            <w:gridSpan w:val="5"/>
            <w:tcBorders>
              <w:top w:val="single" w:color="auto" w:sz="4" w:space="0"/>
              <w:left w:val="nil"/>
              <w:bottom w:val="single" w:color="auto" w:sz="4" w:space="0"/>
              <w:right w:val="single" w:color="000000" w:sz="4" w:space="0"/>
            </w:tcBorders>
            <w:shd w:val="clear" w:color="auto" w:fill="auto"/>
            <w:vAlign w:val="center"/>
          </w:tcPr>
          <w:p w14:paraId="39AE7740">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已实现业绩情况</w:t>
            </w:r>
          </w:p>
          <w:p w14:paraId="0CFA1EE2">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（仅限已退出项目）</w:t>
            </w:r>
          </w:p>
        </w:tc>
        <w:tc>
          <w:tcPr>
            <w:tcW w:w="941" w:type="dxa"/>
            <w:gridSpan w:val="2"/>
            <w:tcBorders>
              <w:top w:val="single" w:color="auto" w:sz="4" w:space="0"/>
              <w:left w:val="nil"/>
              <w:bottom w:val="single" w:color="auto" w:sz="4" w:space="0"/>
              <w:right w:val="single" w:color="auto" w:sz="4" w:space="0"/>
            </w:tcBorders>
            <w:shd w:val="clear" w:color="auto" w:fill="auto"/>
            <w:noWrap/>
            <w:vAlign w:val="center"/>
          </w:tcPr>
          <w:p w14:paraId="7BD4D7EE">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待实现业绩情况</w:t>
            </w:r>
          </w:p>
        </w:tc>
        <w:tc>
          <w:tcPr>
            <w:tcW w:w="715" w:type="dxa"/>
            <w:vMerge w:val="restart"/>
            <w:tcBorders>
              <w:top w:val="single" w:color="auto" w:sz="4" w:space="0"/>
              <w:left w:val="nil"/>
              <w:right w:val="single" w:color="auto" w:sz="4" w:space="0"/>
            </w:tcBorders>
            <w:shd w:val="clear" w:color="auto" w:fill="auto"/>
            <w:vAlign w:val="center"/>
          </w:tcPr>
          <w:p w14:paraId="324C6D2F">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基金MOC</w:t>
            </w:r>
          </w:p>
        </w:tc>
        <w:tc>
          <w:tcPr>
            <w:tcW w:w="628" w:type="dxa"/>
            <w:vMerge w:val="restart"/>
            <w:tcBorders>
              <w:top w:val="nil"/>
              <w:left w:val="single" w:color="auto" w:sz="4" w:space="0"/>
              <w:bottom w:val="single" w:color="auto" w:sz="4" w:space="0"/>
              <w:right w:val="single" w:color="auto" w:sz="4" w:space="0"/>
            </w:tcBorders>
            <w:shd w:val="clear" w:color="auto" w:fill="auto"/>
            <w:vAlign w:val="center"/>
          </w:tcPr>
          <w:p w14:paraId="600F220D">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基金DPI</w:t>
            </w:r>
          </w:p>
        </w:tc>
        <w:tc>
          <w:tcPr>
            <w:tcW w:w="6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B631D7">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备注</w:t>
            </w:r>
          </w:p>
          <w:p w14:paraId="0A7E0666">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kern w:val="0"/>
                <w:sz w:val="18"/>
                <w:szCs w:val="18"/>
                <w:highlight w:val="none"/>
                <w:u w:val="none"/>
              </w:rPr>
              <w:t>（基金基石投资人、特殊约定、是否为母基金、是否为科创等）</w:t>
            </w:r>
          </w:p>
        </w:tc>
        <w:tc>
          <w:tcPr>
            <w:tcW w:w="462" w:type="dxa"/>
            <w:vMerge w:val="restart"/>
            <w:tcBorders>
              <w:top w:val="nil"/>
              <w:left w:val="single" w:color="auto" w:sz="4" w:space="0"/>
              <w:bottom w:val="single" w:color="auto" w:sz="4" w:space="0"/>
              <w:right w:val="single" w:color="auto" w:sz="4" w:space="0"/>
            </w:tcBorders>
            <w:shd w:val="clear" w:color="auto" w:fill="auto"/>
            <w:vAlign w:val="center"/>
          </w:tcPr>
          <w:p w14:paraId="27295F30">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是否母基金</w:t>
            </w:r>
          </w:p>
        </w:tc>
        <w:tc>
          <w:tcPr>
            <w:tcW w:w="658" w:type="dxa"/>
            <w:vMerge w:val="restart"/>
            <w:tcBorders>
              <w:top w:val="nil"/>
              <w:left w:val="single" w:color="auto" w:sz="4" w:space="0"/>
              <w:bottom w:val="single" w:color="auto" w:sz="4" w:space="0"/>
              <w:right w:val="single" w:color="auto" w:sz="4" w:space="0"/>
            </w:tcBorders>
            <w:shd w:val="clear" w:color="auto" w:fill="auto"/>
            <w:vAlign w:val="center"/>
          </w:tcPr>
          <w:p w14:paraId="248BD436">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团队相关人员及所担任职务</w:t>
            </w:r>
          </w:p>
        </w:tc>
      </w:tr>
      <w:tr w14:paraId="5EC5DF2E">
        <w:tblPrEx>
          <w:tblCellMar>
            <w:top w:w="0" w:type="dxa"/>
            <w:left w:w="108" w:type="dxa"/>
            <w:bottom w:w="0" w:type="dxa"/>
            <w:right w:w="108" w:type="dxa"/>
          </w:tblCellMar>
        </w:tblPrEx>
        <w:trPr>
          <w:trHeight w:val="99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1DDC910F">
            <w:pPr>
              <w:widowControl/>
              <w:jc w:val="center"/>
              <w:rPr>
                <w:rFonts w:ascii="宋体" w:hAnsi="宋体" w:eastAsia="宋体" w:cs="宋体"/>
                <w:b/>
                <w:bCs/>
                <w:kern w:val="0"/>
                <w:sz w:val="18"/>
                <w:szCs w:val="18"/>
                <w:highlight w:val="none"/>
                <w:u w:val="none"/>
              </w:rPr>
            </w:pPr>
          </w:p>
        </w:tc>
        <w:tc>
          <w:tcPr>
            <w:tcW w:w="952" w:type="dxa"/>
            <w:vMerge w:val="continue"/>
            <w:tcBorders>
              <w:top w:val="nil"/>
              <w:left w:val="single" w:color="auto" w:sz="4" w:space="0"/>
              <w:bottom w:val="single" w:color="auto" w:sz="4" w:space="0"/>
              <w:right w:val="single" w:color="auto" w:sz="4" w:space="0"/>
            </w:tcBorders>
            <w:vAlign w:val="center"/>
          </w:tcPr>
          <w:p w14:paraId="32AE183C">
            <w:pPr>
              <w:widowControl/>
              <w:jc w:val="center"/>
              <w:rPr>
                <w:rFonts w:ascii="宋体" w:hAnsi="宋体" w:eastAsia="宋体" w:cs="宋体"/>
                <w:b/>
                <w:bCs/>
                <w:kern w:val="0"/>
                <w:sz w:val="18"/>
                <w:szCs w:val="18"/>
                <w:highlight w:val="none"/>
                <w:u w:val="none"/>
              </w:rPr>
            </w:pPr>
          </w:p>
        </w:tc>
        <w:tc>
          <w:tcPr>
            <w:tcW w:w="1162" w:type="dxa"/>
            <w:vMerge w:val="continue"/>
            <w:tcBorders>
              <w:top w:val="nil"/>
              <w:left w:val="single" w:color="auto" w:sz="4" w:space="0"/>
              <w:bottom w:val="single" w:color="auto" w:sz="4" w:space="0"/>
              <w:right w:val="single" w:color="auto" w:sz="4" w:space="0"/>
            </w:tcBorders>
            <w:vAlign w:val="center"/>
          </w:tcPr>
          <w:p w14:paraId="505399C9">
            <w:pPr>
              <w:widowControl/>
              <w:jc w:val="center"/>
              <w:rPr>
                <w:rFonts w:ascii="宋体" w:hAnsi="宋体" w:eastAsia="宋体" w:cs="宋体"/>
                <w:b/>
                <w:bCs/>
                <w:kern w:val="0"/>
                <w:sz w:val="18"/>
                <w:szCs w:val="18"/>
                <w:highlight w:val="none"/>
                <w:u w:val="none"/>
              </w:rPr>
            </w:pPr>
          </w:p>
        </w:tc>
        <w:tc>
          <w:tcPr>
            <w:tcW w:w="944" w:type="dxa"/>
            <w:vMerge w:val="continue"/>
            <w:tcBorders>
              <w:top w:val="nil"/>
              <w:left w:val="single" w:color="auto" w:sz="4" w:space="0"/>
              <w:bottom w:val="single" w:color="auto" w:sz="4" w:space="0"/>
              <w:right w:val="single" w:color="auto" w:sz="4" w:space="0"/>
            </w:tcBorders>
            <w:vAlign w:val="center"/>
          </w:tcPr>
          <w:p w14:paraId="4B52174A">
            <w:pPr>
              <w:widowControl/>
              <w:jc w:val="center"/>
              <w:rPr>
                <w:rFonts w:ascii="宋体" w:hAnsi="宋体" w:eastAsia="宋体" w:cs="宋体"/>
                <w:b/>
                <w:bCs/>
                <w:kern w:val="0"/>
                <w:sz w:val="18"/>
                <w:szCs w:val="18"/>
                <w:highlight w:val="none"/>
                <w:u w:val="none"/>
              </w:rPr>
            </w:pPr>
          </w:p>
        </w:tc>
        <w:tc>
          <w:tcPr>
            <w:tcW w:w="582" w:type="dxa"/>
            <w:vMerge w:val="continue"/>
            <w:tcBorders>
              <w:top w:val="nil"/>
              <w:left w:val="single" w:color="auto" w:sz="4" w:space="0"/>
              <w:bottom w:val="single" w:color="auto" w:sz="4" w:space="0"/>
              <w:right w:val="single" w:color="auto" w:sz="4" w:space="0"/>
            </w:tcBorders>
            <w:vAlign w:val="center"/>
          </w:tcPr>
          <w:p w14:paraId="2B98BA6B">
            <w:pPr>
              <w:widowControl/>
              <w:jc w:val="center"/>
              <w:rPr>
                <w:rFonts w:ascii="宋体" w:hAnsi="宋体" w:eastAsia="宋体" w:cs="宋体"/>
                <w:b/>
                <w:bCs/>
                <w:kern w:val="0"/>
                <w:sz w:val="18"/>
                <w:szCs w:val="18"/>
                <w:highlight w:val="none"/>
                <w:u w:val="none"/>
              </w:rPr>
            </w:pPr>
          </w:p>
        </w:tc>
        <w:tc>
          <w:tcPr>
            <w:tcW w:w="770" w:type="dxa"/>
            <w:vMerge w:val="continue"/>
            <w:tcBorders>
              <w:top w:val="nil"/>
              <w:left w:val="single" w:color="auto" w:sz="4" w:space="0"/>
              <w:bottom w:val="single" w:color="auto" w:sz="4" w:space="0"/>
              <w:right w:val="single" w:color="auto" w:sz="4" w:space="0"/>
            </w:tcBorders>
            <w:vAlign w:val="center"/>
          </w:tcPr>
          <w:p w14:paraId="36CDE937">
            <w:pPr>
              <w:widowControl/>
              <w:jc w:val="center"/>
              <w:rPr>
                <w:rFonts w:ascii="宋体" w:hAnsi="宋体" w:eastAsia="宋体" w:cs="宋体"/>
                <w:b/>
                <w:bCs/>
                <w:kern w:val="0"/>
                <w:sz w:val="18"/>
                <w:szCs w:val="18"/>
                <w:highlight w:val="none"/>
                <w:u w:val="none"/>
              </w:rPr>
            </w:pPr>
          </w:p>
        </w:tc>
        <w:tc>
          <w:tcPr>
            <w:tcW w:w="489" w:type="dxa"/>
            <w:vMerge w:val="continue"/>
            <w:tcBorders>
              <w:top w:val="nil"/>
              <w:left w:val="single" w:color="auto" w:sz="4" w:space="0"/>
              <w:bottom w:val="single" w:color="auto" w:sz="4" w:space="0"/>
              <w:right w:val="single" w:color="auto" w:sz="4" w:space="0"/>
            </w:tcBorders>
            <w:vAlign w:val="center"/>
          </w:tcPr>
          <w:p w14:paraId="51E51A06">
            <w:pPr>
              <w:widowControl/>
              <w:jc w:val="center"/>
              <w:rPr>
                <w:rFonts w:ascii="宋体" w:hAnsi="宋体" w:eastAsia="宋体" w:cs="宋体"/>
                <w:b/>
                <w:bCs/>
                <w:kern w:val="0"/>
                <w:sz w:val="18"/>
                <w:szCs w:val="18"/>
                <w:highlight w:val="none"/>
                <w:u w:val="none"/>
              </w:rPr>
            </w:pPr>
          </w:p>
        </w:tc>
        <w:tc>
          <w:tcPr>
            <w:tcW w:w="525" w:type="dxa"/>
            <w:vMerge w:val="continue"/>
            <w:tcBorders>
              <w:top w:val="nil"/>
              <w:left w:val="single" w:color="auto" w:sz="4" w:space="0"/>
              <w:bottom w:val="single" w:color="auto" w:sz="4" w:space="0"/>
              <w:right w:val="single" w:color="auto" w:sz="4" w:space="0"/>
            </w:tcBorders>
            <w:vAlign w:val="center"/>
          </w:tcPr>
          <w:p w14:paraId="73D0FD35">
            <w:pPr>
              <w:widowControl/>
              <w:jc w:val="center"/>
              <w:rPr>
                <w:rFonts w:ascii="宋体" w:hAnsi="宋体" w:eastAsia="宋体" w:cs="宋体"/>
                <w:b/>
                <w:bCs/>
                <w:kern w:val="0"/>
                <w:sz w:val="18"/>
                <w:szCs w:val="18"/>
                <w:highlight w:val="none"/>
                <w:u w:val="none"/>
              </w:rPr>
            </w:pPr>
          </w:p>
        </w:tc>
        <w:tc>
          <w:tcPr>
            <w:tcW w:w="759" w:type="dxa"/>
            <w:vMerge w:val="continue"/>
            <w:tcBorders>
              <w:top w:val="nil"/>
              <w:left w:val="single" w:color="auto" w:sz="4" w:space="0"/>
              <w:bottom w:val="single" w:color="auto" w:sz="4" w:space="0"/>
              <w:right w:val="single" w:color="auto" w:sz="4" w:space="0"/>
            </w:tcBorders>
            <w:vAlign w:val="center"/>
          </w:tcPr>
          <w:p w14:paraId="56F33E8A">
            <w:pPr>
              <w:widowControl/>
              <w:jc w:val="center"/>
              <w:rPr>
                <w:rFonts w:ascii="宋体" w:hAnsi="宋体" w:eastAsia="宋体" w:cs="宋体"/>
                <w:b/>
                <w:bCs/>
                <w:kern w:val="0"/>
                <w:sz w:val="18"/>
                <w:szCs w:val="18"/>
                <w:highlight w:val="none"/>
                <w:u w:val="none"/>
              </w:rPr>
            </w:pPr>
          </w:p>
        </w:tc>
        <w:tc>
          <w:tcPr>
            <w:tcW w:w="397" w:type="dxa"/>
            <w:vMerge w:val="continue"/>
            <w:tcBorders>
              <w:top w:val="nil"/>
              <w:left w:val="single" w:color="auto" w:sz="4" w:space="0"/>
              <w:bottom w:val="single" w:color="auto" w:sz="4" w:space="0"/>
              <w:right w:val="single" w:color="auto" w:sz="4" w:space="0"/>
            </w:tcBorders>
            <w:vAlign w:val="center"/>
          </w:tcPr>
          <w:p w14:paraId="153C89D3">
            <w:pPr>
              <w:widowControl/>
              <w:jc w:val="center"/>
              <w:rPr>
                <w:rFonts w:ascii="宋体" w:hAnsi="宋体" w:eastAsia="宋体" w:cs="宋体"/>
                <w:b/>
                <w:bCs/>
                <w:kern w:val="0"/>
                <w:sz w:val="18"/>
                <w:szCs w:val="18"/>
                <w:highlight w:val="none"/>
                <w:u w:val="none"/>
              </w:rPr>
            </w:pPr>
          </w:p>
        </w:tc>
        <w:tc>
          <w:tcPr>
            <w:tcW w:w="443" w:type="dxa"/>
            <w:vMerge w:val="continue"/>
            <w:tcBorders>
              <w:top w:val="nil"/>
              <w:left w:val="single" w:color="auto" w:sz="4" w:space="0"/>
              <w:bottom w:val="single" w:color="auto" w:sz="4" w:space="0"/>
              <w:right w:val="single" w:color="auto" w:sz="4" w:space="0"/>
            </w:tcBorders>
            <w:vAlign w:val="center"/>
          </w:tcPr>
          <w:p w14:paraId="216B8062">
            <w:pPr>
              <w:widowControl/>
              <w:jc w:val="center"/>
              <w:rPr>
                <w:rFonts w:ascii="宋体" w:hAnsi="宋体" w:eastAsia="宋体" w:cs="宋体"/>
                <w:b/>
                <w:bCs/>
                <w:kern w:val="0"/>
                <w:sz w:val="18"/>
                <w:szCs w:val="18"/>
                <w:highlight w:val="none"/>
                <w:u w:val="none"/>
              </w:rPr>
            </w:pPr>
          </w:p>
        </w:tc>
        <w:tc>
          <w:tcPr>
            <w:tcW w:w="397" w:type="dxa"/>
            <w:tcBorders>
              <w:top w:val="nil"/>
              <w:left w:val="nil"/>
              <w:bottom w:val="single" w:color="auto" w:sz="4" w:space="0"/>
              <w:right w:val="single" w:color="auto" w:sz="4" w:space="0"/>
            </w:tcBorders>
            <w:shd w:val="clear" w:color="auto" w:fill="auto"/>
            <w:vAlign w:val="center"/>
          </w:tcPr>
          <w:p w14:paraId="6328E059">
            <w:pPr>
              <w:widowControl/>
              <w:jc w:val="center"/>
              <w:rPr>
                <w:rFonts w:ascii="宋体" w:hAnsi="宋体" w:eastAsia="宋体" w:cs="宋体"/>
                <w:b/>
                <w:bCs/>
                <w:kern w:val="0"/>
                <w:sz w:val="18"/>
                <w:szCs w:val="18"/>
                <w:highlight w:val="none"/>
                <w:u w:val="none"/>
              </w:rPr>
            </w:pPr>
            <w:r>
              <w:rPr>
                <w:rFonts w:hint="eastAsia" w:ascii="宋体" w:hAnsi="宋体" w:eastAsia="宋体" w:cs="宋体"/>
                <w:b/>
                <w:bCs/>
                <w:kern w:val="0"/>
                <w:sz w:val="18"/>
                <w:szCs w:val="18"/>
                <w:highlight w:val="none"/>
                <w:u w:val="none"/>
              </w:rPr>
              <w:t>退出项目个数</w:t>
            </w:r>
          </w:p>
        </w:tc>
        <w:tc>
          <w:tcPr>
            <w:tcW w:w="469" w:type="dxa"/>
            <w:tcBorders>
              <w:top w:val="nil"/>
              <w:left w:val="nil"/>
              <w:bottom w:val="single" w:color="auto" w:sz="4" w:space="0"/>
              <w:right w:val="single" w:color="auto" w:sz="4" w:space="0"/>
            </w:tcBorders>
            <w:shd w:val="clear" w:color="auto" w:fill="auto"/>
            <w:vAlign w:val="center"/>
          </w:tcPr>
          <w:p w14:paraId="32488E45">
            <w:pPr>
              <w:widowControl/>
              <w:jc w:val="center"/>
              <w:rPr>
                <w:rFonts w:ascii="宋体" w:hAnsi="宋体" w:eastAsia="宋体" w:cs="宋体"/>
                <w:b/>
                <w:bCs/>
                <w:kern w:val="0"/>
                <w:sz w:val="18"/>
                <w:szCs w:val="18"/>
                <w:highlight w:val="none"/>
                <w:u w:val="none"/>
              </w:rPr>
            </w:pPr>
            <w:r>
              <w:rPr>
                <w:rFonts w:hint="eastAsia" w:ascii="宋体" w:hAnsi="宋体" w:eastAsia="宋体" w:cs="宋体"/>
                <w:b/>
                <w:bCs/>
                <w:kern w:val="0"/>
                <w:sz w:val="18"/>
                <w:szCs w:val="18"/>
                <w:highlight w:val="none"/>
                <w:u w:val="none"/>
              </w:rPr>
              <w:t>退出本金</w:t>
            </w:r>
          </w:p>
        </w:tc>
        <w:tc>
          <w:tcPr>
            <w:tcW w:w="578" w:type="dxa"/>
            <w:tcBorders>
              <w:top w:val="nil"/>
              <w:left w:val="nil"/>
              <w:bottom w:val="single" w:color="auto" w:sz="4" w:space="0"/>
              <w:right w:val="single" w:color="auto" w:sz="4" w:space="0"/>
            </w:tcBorders>
            <w:shd w:val="clear" w:color="auto" w:fill="auto"/>
            <w:vAlign w:val="center"/>
          </w:tcPr>
          <w:p w14:paraId="09DA433A">
            <w:pPr>
              <w:widowControl/>
              <w:jc w:val="center"/>
              <w:rPr>
                <w:rFonts w:ascii="宋体" w:hAnsi="宋体" w:eastAsia="宋体" w:cs="宋体"/>
                <w:b/>
                <w:bCs/>
                <w:kern w:val="0"/>
                <w:sz w:val="18"/>
                <w:szCs w:val="18"/>
                <w:highlight w:val="none"/>
                <w:u w:val="none"/>
              </w:rPr>
            </w:pPr>
            <w:r>
              <w:rPr>
                <w:rFonts w:hint="eastAsia" w:ascii="宋体" w:hAnsi="宋体" w:eastAsia="宋体" w:cs="宋体"/>
                <w:b/>
                <w:bCs/>
                <w:kern w:val="0"/>
                <w:sz w:val="18"/>
                <w:szCs w:val="18"/>
                <w:highlight w:val="none"/>
                <w:u w:val="none"/>
              </w:rPr>
              <w:t>退出收益</w:t>
            </w:r>
          </w:p>
          <w:p w14:paraId="70807102">
            <w:pPr>
              <w:widowControl/>
              <w:jc w:val="center"/>
              <w:rPr>
                <w:rFonts w:ascii="宋体" w:hAnsi="宋体" w:eastAsia="宋体" w:cs="宋体"/>
                <w:b/>
                <w:bCs/>
                <w:kern w:val="0"/>
                <w:sz w:val="18"/>
                <w:szCs w:val="18"/>
                <w:highlight w:val="none"/>
                <w:u w:val="none"/>
              </w:rPr>
            </w:pPr>
            <w:r>
              <w:rPr>
                <w:rFonts w:hint="eastAsia" w:ascii="宋体" w:hAnsi="宋体" w:eastAsia="宋体" w:cs="宋体"/>
                <w:kern w:val="0"/>
                <w:sz w:val="18"/>
                <w:szCs w:val="18"/>
                <w:highlight w:val="none"/>
                <w:u w:val="none"/>
              </w:rPr>
              <w:t>（不含分红及本金回收）</w:t>
            </w:r>
          </w:p>
        </w:tc>
        <w:tc>
          <w:tcPr>
            <w:tcW w:w="443" w:type="dxa"/>
            <w:tcBorders>
              <w:top w:val="nil"/>
              <w:left w:val="nil"/>
              <w:bottom w:val="single" w:color="auto" w:sz="4" w:space="0"/>
              <w:right w:val="single" w:color="auto" w:sz="4" w:space="0"/>
            </w:tcBorders>
            <w:shd w:val="clear" w:color="auto" w:fill="auto"/>
            <w:vAlign w:val="center"/>
          </w:tcPr>
          <w:p w14:paraId="6B0F3437">
            <w:pPr>
              <w:widowControl/>
              <w:jc w:val="center"/>
              <w:rPr>
                <w:rFonts w:ascii="宋体" w:hAnsi="宋体" w:eastAsia="宋体" w:cs="宋体"/>
                <w:b/>
                <w:bCs/>
                <w:kern w:val="0"/>
                <w:sz w:val="18"/>
                <w:szCs w:val="18"/>
                <w:highlight w:val="none"/>
                <w:u w:val="none"/>
              </w:rPr>
            </w:pPr>
            <w:r>
              <w:rPr>
                <w:rFonts w:hint="eastAsia" w:ascii="宋体" w:hAnsi="宋体" w:eastAsia="宋体" w:cs="宋体"/>
                <w:b/>
                <w:bCs/>
                <w:kern w:val="0"/>
                <w:sz w:val="18"/>
                <w:szCs w:val="18"/>
                <w:highlight w:val="none"/>
                <w:u w:val="none"/>
              </w:rPr>
              <w:t>累计已回收金额</w:t>
            </w:r>
          </w:p>
        </w:tc>
        <w:tc>
          <w:tcPr>
            <w:tcW w:w="578" w:type="dxa"/>
            <w:tcBorders>
              <w:top w:val="nil"/>
              <w:left w:val="nil"/>
              <w:bottom w:val="single" w:color="auto" w:sz="4" w:space="0"/>
              <w:right w:val="single" w:color="auto" w:sz="4" w:space="0"/>
            </w:tcBorders>
            <w:shd w:val="clear" w:color="auto" w:fill="auto"/>
            <w:vAlign w:val="center"/>
          </w:tcPr>
          <w:p w14:paraId="44DD97B7">
            <w:pPr>
              <w:widowControl/>
              <w:jc w:val="center"/>
              <w:rPr>
                <w:rFonts w:ascii="宋体" w:hAnsi="宋体" w:eastAsia="宋体" w:cs="宋体"/>
                <w:b/>
                <w:bCs/>
                <w:kern w:val="0"/>
                <w:sz w:val="18"/>
                <w:szCs w:val="18"/>
                <w:highlight w:val="none"/>
                <w:u w:val="none"/>
              </w:rPr>
            </w:pPr>
            <w:r>
              <w:rPr>
                <w:rFonts w:hint="eastAsia" w:ascii="宋体" w:hAnsi="宋体" w:eastAsia="宋体" w:cs="宋体"/>
                <w:b/>
                <w:bCs/>
                <w:kern w:val="0"/>
                <w:sz w:val="18"/>
                <w:szCs w:val="18"/>
                <w:highlight w:val="none"/>
                <w:u w:val="none"/>
              </w:rPr>
              <w:t>其中：累计已分配合伙人金额</w:t>
            </w:r>
          </w:p>
        </w:tc>
        <w:tc>
          <w:tcPr>
            <w:tcW w:w="479" w:type="dxa"/>
            <w:tcBorders>
              <w:top w:val="nil"/>
              <w:left w:val="nil"/>
              <w:bottom w:val="single" w:color="auto" w:sz="4" w:space="0"/>
              <w:right w:val="single" w:color="auto" w:sz="4" w:space="0"/>
            </w:tcBorders>
            <w:shd w:val="clear" w:color="auto" w:fill="auto"/>
            <w:vAlign w:val="center"/>
          </w:tcPr>
          <w:p w14:paraId="427C103E">
            <w:pPr>
              <w:widowControl/>
              <w:jc w:val="center"/>
              <w:rPr>
                <w:rFonts w:ascii="宋体" w:hAnsi="宋体" w:eastAsia="宋体" w:cs="宋体"/>
                <w:b/>
                <w:bCs/>
                <w:kern w:val="0"/>
                <w:sz w:val="18"/>
                <w:szCs w:val="18"/>
                <w:highlight w:val="none"/>
                <w:u w:val="none"/>
              </w:rPr>
            </w:pPr>
            <w:r>
              <w:rPr>
                <w:rFonts w:hint="eastAsia" w:ascii="宋体" w:hAnsi="宋体" w:eastAsia="宋体" w:cs="宋体"/>
                <w:b/>
                <w:bCs/>
                <w:kern w:val="0"/>
                <w:sz w:val="18"/>
                <w:szCs w:val="18"/>
                <w:highlight w:val="none"/>
                <w:u w:val="none"/>
              </w:rPr>
              <w:t>投资成本</w:t>
            </w:r>
          </w:p>
        </w:tc>
        <w:tc>
          <w:tcPr>
            <w:tcW w:w="462" w:type="dxa"/>
            <w:tcBorders>
              <w:top w:val="nil"/>
              <w:left w:val="nil"/>
              <w:bottom w:val="single" w:color="auto" w:sz="4" w:space="0"/>
              <w:right w:val="single" w:color="auto" w:sz="4" w:space="0"/>
            </w:tcBorders>
            <w:shd w:val="clear" w:color="auto" w:fill="auto"/>
            <w:vAlign w:val="center"/>
          </w:tcPr>
          <w:p w14:paraId="5897DCF4">
            <w:pPr>
              <w:widowControl/>
              <w:jc w:val="center"/>
              <w:rPr>
                <w:rFonts w:ascii="宋体" w:hAnsi="宋体" w:eastAsia="宋体" w:cs="宋体"/>
                <w:b/>
                <w:bCs/>
                <w:kern w:val="0"/>
                <w:sz w:val="18"/>
                <w:szCs w:val="18"/>
                <w:highlight w:val="none"/>
                <w:u w:val="none"/>
              </w:rPr>
            </w:pPr>
            <w:r>
              <w:rPr>
                <w:rFonts w:hint="eastAsia" w:ascii="宋体" w:hAnsi="宋体" w:eastAsia="宋体" w:cs="宋体"/>
                <w:b/>
                <w:bCs/>
                <w:kern w:val="0"/>
                <w:sz w:val="18"/>
                <w:szCs w:val="18"/>
                <w:highlight w:val="none"/>
                <w:u w:val="none"/>
              </w:rPr>
              <w:t>投资估值</w:t>
            </w:r>
          </w:p>
        </w:tc>
        <w:tc>
          <w:tcPr>
            <w:tcW w:w="715" w:type="dxa"/>
            <w:vMerge w:val="continue"/>
            <w:tcBorders>
              <w:left w:val="nil"/>
              <w:bottom w:val="single" w:color="auto" w:sz="4" w:space="0"/>
              <w:right w:val="single" w:color="auto" w:sz="4" w:space="0"/>
            </w:tcBorders>
            <w:shd w:val="clear" w:color="000000" w:fill="FCE4D6"/>
            <w:vAlign w:val="center"/>
          </w:tcPr>
          <w:p w14:paraId="6B988266">
            <w:pPr>
              <w:widowControl/>
              <w:jc w:val="center"/>
              <w:rPr>
                <w:rFonts w:ascii="宋体" w:hAnsi="宋体" w:eastAsia="宋体" w:cs="宋体"/>
                <w:b/>
                <w:bCs/>
                <w:kern w:val="0"/>
                <w:sz w:val="18"/>
                <w:szCs w:val="18"/>
                <w:highlight w:val="none"/>
                <w:u w:val="none"/>
              </w:rPr>
            </w:pPr>
          </w:p>
        </w:tc>
        <w:tc>
          <w:tcPr>
            <w:tcW w:w="628" w:type="dxa"/>
            <w:vMerge w:val="continue"/>
            <w:tcBorders>
              <w:top w:val="nil"/>
              <w:left w:val="single" w:color="auto" w:sz="4" w:space="0"/>
              <w:bottom w:val="single" w:color="auto" w:sz="4" w:space="0"/>
              <w:right w:val="single" w:color="auto" w:sz="4" w:space="0"/>
            </w:tcBorders>
            <w:vAlign w:val="center"/>
          </w:tcPr>
          <w:p w14:paraId="6EB2FF0F">
            <w:pPr>
              <w:widowControl/>
              <w:jc w:val="center"/>
              <w:rPr>
                <w:rFonts w:ascii="宋体" w:hAnsi="宋体" w:eastAsia="宋体" w:cs="宋体"/>
                <w:b/>
                <w:bCs/>
                <w:kern w:val="0"/>
                <w:sz w:val="18"/>
                <w:szCs w:val="18"/>
                <w:highlight w:val="none"/>
                <w:u w:val="none"/>
              </w:rPr>
            </w:pPr>
          </w:p>
        </w:tc>
        <w:tc>
          <w:tcPr>
            <w:tcW w:w="616" w:type="dxa"/>
            <w:vMerge w:val="continue"/>
            <w:tcBorders>
              <w:top w:val="single" w:color="auto" w:sz="4" w:space="0"/>
              <w:left w:val="single" w:color="auto" w:sz="4" w:space="0"/>
              <w:bottom w:val="single" w:color="auto" w:sz="4" w:space="0"/>
              <w:right w:val="single" w:color="auto" w:sz="4" w:space="0"/>
            </w:tcBorders>
            <w:vAlign w:val="center"/>
          </w:tcPr>
          <w:p w14:paraId="06D8027B">
            <w:pPr>
              <w:widowControl/>
              <w:jc w:val="center"/>
              <w:rPr>
                <w:rFonts w:ascii="宋体" w:hAnsi="宋体" w:eastAsia="宋体" w:cs="宋体"/>
                <w:b/>
                <w:bCs/>
                <w:kern w:val="0"/>
                <w:sz w:val="18"/>
                <w:szCs w:val="18"/>
                <w:highlight w:val="none"/>
                <w:u w:val="none"/>
              </w:rPr>
            </w:pPr>
          </w:p>
        </w:tc>
        <w:tc>
          <w:tcPr>
            <w:tcW w:w="462" w:type="dxa"/>
            <w:vMerge w:val="continue"/>
            <w:tcBorders>
              <w:top w:val="nil"/>
              <w:left w:val="single" w:color="auto" w:sz="4" w:space="0"/>
              <w:bottom w:val="single" w:color="auto" w:sz="4" w:space="0"/>
              <w:right w:val="single" w:color="auto" w:sz="4" w:space="0"/>
            </w:tcBorders>
            <w:vAlign w:val="center"/>
          </w:tcPr>
          <w:p w14:paraId="4BC462A0">
            <w:pPr>
              <w:widowControl/>
              <w:jc w:val="center"/>
              <w:rPr>
                <w:rFonts w:ascii="宋体" w:hAnsi="宋体" w:eastAsia="宋体" w:cs="宋体"/>
                <w:b/>
                <w:bCs/>
                <w:kern w:val="0"/>
                <w:sz w:val="18"/>
                <w:szCs w:val="18"/>
                <w:highlight w:val="none"/>
                <w:u w:val="none"/>
              </w:rPr>
            </w:pPr>
          </w:p>
        </w:tc>
        <w:tc>
          <w:tcPr>
            <w:tcW w:w="658" w:type="dxa"/>
            <w:vMerge w:val="continue"/>
            <w:tcBorders>
              <w:top w:val="nil"/>
              <w:left w:val="single" w:color="auto" w:sz="4" w:space="0"/>
              <w:bottom w:val="single" w:color="auto" w:sz="4" w:space="0"/>
              <w:right w:val="single" w:color="auto" w:sz="4" w:space="0"/>
            </w:tcBorders>
            <w:vAlign w:val="center"/>
          </w:tcPr>
          <w:p w14:paraId="299146A5">
            <w:pPr>
              <w:widowControl/>
              <w:jc w:val="center"/>
              <w:rPr>
                <w:rFonts w:ascii="宋体" w:hAnsi="宋体" w:eastAsia="宋体" w:cs="宋体"/>
                <w:b/>
                <w:bCs/>
                <w:kern w:val="0"/>
                <w:sz w:val="18"/>
                <w:szCs w:val="18"/>
                <w:highlight w:val="none"/>
                <w:u w:val="none"/>
              </w:rPr>
            </w:pPr>
          </w:p>
        </w:tc>
      </w:tr>
      <w:tr w14:paraId="2789C1F9">
        <w:tblPrEx>
          <w:tblCellMar>
            <w:top w:w="0" w:type="dxa"/>
            <w:left w:w="108" w:type="dxa"/>
            <w:bottom w:w="0" w:type="dxa"/>
            <w:right w:w="108" w:type="dxa"/>
          </w:tblCellMar>
        </w:tblPrEx>
        <w:trPr>
          <w:trHeight w:val="660" w:hRule="atLeast"/>
          <w:jc w:val="center"/>
        </w:trPr>
        <w:tc>
          <w:tcPr>
            <w:tcW w:w="1008" w:type="dxa"/>
            <w:tcBorders>
              <w:top w:val="nil"/>
              <w:left w:val="single" w:color="auto" w:sz="4" w:space="0"/>
              <w:bottom w:val="single" w:color="auto" w:sz="4" w:space="0"/>
              <w:right w:val="single" w:color="auto" w:sz="4" w:space="0"/>
            </w:tcBorders>
            <w:shd w:val="clear" w:color="auto" w:fill="auto"/>
            <w:noWrap/>
            <w:vAlign w:val="center"/>
          </w:tcPr>
          <w:p w14:paraId="48851FAE">
            <w:pPr>
              <w:widowControl/>
              <w:jc w:val="center"/>
              <w:rPr>
                <w:rFonts w:ascii="宋体" w:hAnsi="宋体" w:eastAsia="宋体" w:cs="宋体"/>
                <w:kern w:val="0"/>
                <w:sz w:val="18"/>
                <w:szCs w:val="18"/>
                <w:highlight w:val="none"/>
                <w:u w:val="none"/>
              </w:rPr>
            </w:pPr>
            <w:r>
              <w:rPr>
                <w:rFonts w:hint="eastAsia" w:ascii="宋体" w:hAnsi="宋体" w:eastAsia="宋体" w:cs="宋体"/>
                <w:kern w:val="0"/>
                <w:sz w:val="18"/>
                <w:szCs w:val="18"/>
                <w:highlight w:val="none"/>
                <w:u w:val="none"/>
              </w:rPr>
              <w:t>示例：XX(有限合伙）</w:t>
            </w:r>
          </w:p>
        </w:tc>
        <w:tc>
          <w:tcPr>
            <w:tcW w:w="952" w:type="dxa"/>
            <w:tcBorders>
              <w:top w:val="nil"/>
              <w:left w:val="nil"/>
              <w:bottom w:val="single" w:color="auto" w:sz="4" w:space="0"/>
              <w:right w:val="single" w:color="auto" w:sz="4" w:space="0"/>
            </w:tcBorders>
            <w:shd w:val="clear" w:color="auto" w:fill="auto"/>
            <w:noWrap/>
            <w:vAlign w:val="center"/>
          </w:tcPr>
          <w:p w14:paraId="7E3BAE3B">
            <w:pPr>
              <w:widowControl/>
              <w:jc w:val="center"/>
              <w:rPr>
                <w:rFonts w:ascii="宋体" w:hAnsi="宋体" w:eastAsia="宋体" w:cs="宋体"/>
                <w:kern w:val="0"/>
                <w:sz w:val="18"/>
                <w:szCs w:val="18"/>
                <w:highlight w:val="none"/>
                <w:u w:val="none"/>
              </w:rPr>
            </w:pPr>
            <w:r>
              <w:rPr>
                <w:rFonts w:hint="default" w:ascii="Times New Roman" w:hAnsi="Times New Roman" w:eastAsia="宋体" w:cs="Times New Roman"/>
                <w:kern w:val="0"/>
                <w:sz w:val="18"/>
                <w:szCs w:val="18"/>
                <w:highlight w:val="none"/>
                <w:u w:val="none"/>
              </w:rPr>
              <w:t>20</w:t>
            </w:r>
            <w:r>
              <w:rPr>
                <w:rFonts w:ascii="宋体" w:hAnsi="宋体" w:eastAsia="宋体" w:cs="宋体"/>
                <w:kern w:val="0"/>
                <w:sz w:val="18"/>
                <w:szCs w:val="18"/>
                <w:highlight w:val="none"/>
                <w:u w:val="none"/>
              </w:rPr>
              <w:t>XX</w:t>
            </w:r>
            <w:r>
              <w:rPr>
                <w:rFonts w:hint="eastAsia" w:ascii="宋体" w:hAnsi="宋体" w:eastAsia="宋体" w:cs="宋体"/>
                <w:kern w:val="0"/>
                <w:sz w:val="18"/>
                <w:szCs w:val="18"/>
                <w:highlight w:val="none"/>
                <w:u w:val="none"/>
              </w:rPr>
              <w:t>/</w:t>
            </w:r>
            <w:r>
              <w:rPr>
                <w:rFonts w:ascii="宋体" w:hAnsi="宋体" w:eastAsia="宋体" w:cs="宋体"/>
                <w:kern w:val="0"/>
                <w:sz w:val="18"/>
                <w:szCs w:val="18"/>
                <w:highlight w:val="none"/>
                <w:u w:val="none"/>
              </w:rPr>
              <w:t>X</w:t>
            </w:r>
            <w:r>
              <w:rPr>
                <w:rFonts w:hint="eastAsia" w:ascii="宋体" w:hAnsi="宋体" w:eastAsia="宋体" w:cs="宋体"/>
                <w:kern w:val="0"/>
                <w:sz w:val="18"/>
                <w:szCs w:val="18"/>
                <w:highlight w:val="none"/>
                <w:u w:val="none"/>
              </w:rPr>
              <w:t>/</w:t>
            </w:r>
            <w:r>
              <w:rPr>
                <w:rFonts w:ascii="宋体" w:hAnsi="宋体" w:eastAsia="宋体" w:cs="宋体"/>
                <w:kern w:val="0"/>
                <w:sz w:val="18"/>
                <w:szCs w:val="18"/>
                <w:highlight w:val="none"/>
                <w:u w:val="none"/>
              </w:rPr>
              <w:t>X</w:t>
            </w:r>
          </w:p>
        </w:tc>
        <w:tc>
          <w:tcPr>
            <w:tcW w:w="1162" w:type="dxa"/>
            <w:tcBorders>
              <w:top w:val="nil"/>
              <w:left w:val="nil"/>
              <w:bottom w:val="single" w:color="auto" w:sz="4" w:space="0"/>
              <w:right w:val="single" w:color="auto" w:sz="4" w:space="0"/>
            </w:tcBorders>
            <w:shd w:val="clear" w:color="auto" w:fill="auto"/>
            <w:noWrap/>
            <w:vAlign w:val="center"/>
          </w:tcPr>
          <w:p w14:paraId="22F9B86E">
            <w:pPr>
              <w:widowControl/>
              <w:jc w:val="center"/>
              <w:rPr>
                <w:rFonts w:ascii="宋体" w:hAnsi="宋体" w:eastAsia="宋体" w:cs="宋体"/>
                <w:kern w:val="0"/>
                <w:sz w:val="18"/>
                <w:szCs w:val="18"/>
                <w:highlight w:val="none"/>
                <w:u w:val="none"/>
              </w:rPr>
            </w:pPr>
            <w:r>
              <w:rPr>
                <w:rFonts w:hint="default" w:ascii="Times New Roman" w:hAnsi="Times New Roman" w:eastAsia="宋体" w:cs="Times New Roman"/>
                <w:kern w:val="0"/>
                <w:sz w:val="18"/>
                <w:szCs w:val="18"/>
                <w:highlight w:val="none"/>
                <w:u w:val="none"/>
              </w:rPr>
              <w:t>3</w:t>
            </w:r>
            <w:r>
              <w:rPr>
                <w:rFonts w:hint="eastAsia" w:ascii="宋体" w:hAnsi="宋体" w:eastAsia="宋体" w:cs="宋体"/>
                <w:kern w:val="0"/>
                <w:sz w:val="18"/>
                <w:szCs w:val="18"/>
                <w:highlight w:val="none"/>
                <w:u w:val="none"/>
              </w:rPr>
              <w:t>（投资期）+</w:t>
            </w:r>
            <w:r>
              <w:rPr>
                <w:rFonts w:hint="default" w:ascii="Times New Roman" w:hAnsi="Times New Roman" w:eastAsia="宋体" w:cs="Times New Roman"/>
                <w:kern w:val="0"/>
                <w:sz w:val="18"/>
                <w:szCs w:val="18"/>
                <w:highlight w:val="none"/>
                <w:u w:val="none"/>
              </w:rPr>
              <w:t>2</w:t>
            </w:r>
            <w:r>
              <w:rPr>
                <w:rFonts w:hint="eastAsia" w:ascii="宋体" w:hAnsi="宋体" w:eastAsia="宋体" w:cs="宋体"/>
                <w:kern w:val="0"/>
                <w:sz w:val="18"/>
                <w:szCs w:val="18"/>
                <w:highlight w:val="none"/>
                <w:u w:val="none"/>
              </w:rPr>
              <w:t>（退出期）+</w:t>
            </w:r>
            <w:r>
              <w:rPr>
                <w:rFonts w:hint="default" w:ascii="Times New Roman" w:hAnsi="Times New Roman" w:eastAsia="宋体" w:cs="Times New Roman"/>
                <w:kern w:val="0"/>
                <w:sz w:val="18"/>
                <w:szCs w:val="18"/>
                <w:highlight w:val="none"/>
                <w:u w:val="none"/>
              </w:rPr>
              <w:t>2</w:t>
            </w:r>
            <w:r>
              <w:rPr>
                <w:rFonts w:hint="eastAsia" w:ascii="宋体" w:hAnsi="宋体" w:eastAsia="宋体" w:cs="宋体"/>
                <w:kern w:val="0"/>
                <w:sz w:val="18"/>
                <w:szCs w:val="18"/>
                <w:highlight w:val="none"/>
                <w:u w:val="none"/>
              </w:rPr>
              <w:t>（延长期，如有）</w:t>
            </w:r>
          </w:p>
        </w:tc>
        <w:tc>
          <w:tcPr>
            <w:tcW w:w="944" w:type="dxa"/>
            <w:tcBorders>
              <w:top w:val="nil"/>
              <w:left w:val="nil"/>
              <w:bottom w:val="single" w:color="auto" w:sz="4" w:space="0"/>
              <w:right w:val="single" w:color="auto" w:sz="4" w:space="0"/>
            </w:tcBorders>
            <w:shd w:val="clear" w:color="auto" w:fill="auto"/>
            <w:noWrap/>
            <w:vAlign w:val="center"/>
          </w:tcPr>
          <w:p w14:paraId="58FCC90B">
            <w:pPr>
              <w:widowControl/>
              <w:jc w:val="center"/>
              <w:rPr>
                <w:rFonts w:ascii="宋体" w:hAnsi="宋体" w:eastAsia="宋体" w:cs="宋体"/>
                <w:kern w:val="0"/>
                <w:sz w:val="18"/>
                <w:szCs w:val="18"/>
                <w:highlight w:val="none"/>
                <w:u w:val="none"/>
              </w:rPr>
            </w:pPr>
          </w:p>
        </w:tc>
        <w:tc>
          <w:tcPr>
            <w:tcW w:w="582" w:type="dxa"/>
            <w:tcBorders>
              <w:top w:val="nil"/>
              <w:left w:val="nil"/>
              <w:bottom w:val="single" w:color="auto" w:sz="4" w:space="0"/>
              <w:right w:val="single" w:color="auto" w:sz="4" w:space="0"/>
            </w:tcBorders>
            <w:shd w:val="clear" w:color="auto" w:fill="auto"/>
            <w:noWrap/>
            <w:vAlign w:val="center"/>
          </w:tcPr>
          <w:p w14:paraId="74A36DFB">
            <w:pPr>
              <w:widowControl/>
              <w:jc w:val="center"/>
              <w:rPr>
                <w:rFonts w:ascii="宋体" w:hAnsi="宋体" w:eastAsia="宋体" w:cs="宋体"/>
                <w:kern w:val="0"/>
                <w:sz w:val="18"/>
                <w:szCs w:val="18"/>
                <w:highlight w:val="none"/>
                <w:u w:val="none"/>
              </w:rPr>
            </w:pPr>
          </w:p>
        </w:tc>
        <w:tc>
          <w:tcPr>
            <w:tcW w:w="770" w:type="dxa"/>
            <w:tcBorders>
              <w:top w:val="nil"/>
              <w:left w:val="nil"/>
              <w:bottom w:val="single" w:color="auto" w:sz="4" w:space="0"/>
              <w:right w:val="single" w:color="auto" w:sz="4" w:space="0"/>
            </w:tcBorders>
            <w:shd w:val="clear" w:color="auto" w:fill="auto"/>
            <w:noWrap/>
            <w:vAlign w:val="center"/>
          </w:tcPr>
          <w:p w14:paraId="0DE9A3D8">
            <w:pPr>
              <w:widowControl/>
              <w:jc w:val="center"/>
              <w:rPr>
                <w:rFonts w:ascii="宋体" w:hAnsi="宋体" w:eastAsia="宋体" w:cs="宋体"/>
                <w:kern w:val="0"/>
                <w:sz w:val="18"/>
                <w:szCs w:val="18"/>
                <w:highlight w:val="none"/>
                <w:u w:val="none"/>
              </w:rPr>
            </w:pPr>
          </w:p>
        </w:tc>
        <w:tc>
          <w:tcPr>
            <w:tcW w:w="489" w:type="dxa"/>
            <w:tcBorders>
              <w:top w:val="nil"/>
              <w:left w:val="nil"/>
              <w:bottom w:val="single" w:color="auto" w:sz="4" w:space="0"/>
              <w:right w:val="single" w:color="auto" w:sz="4" w:space="0"/>
            </w:tcBorders>
            <w:shd w:val="clear" w:color="auto" w:fill="auto"/>
            <w:noWrap/>
            <w:vAlign w:val="center"/>
          </w:tcPr>
          <w:p w14:paraId="5D91AD36">
            <w:pPr>
              <w:widowControl/>
              <w:jc w:val="center"/>
              <w:rPr>
                <w:rFonts w:ascii="宋体" w:hAnsi="宋体" w:eastAsia="宋体" w:cs="宋体"/>
                <w:kern w:val="0"/>
                <w:sz w:val="18"/>
                <w:szCs w:val="18"/>
                <w:highlight w:val="none"/>
                <w:u w:val="none"/>
              </w:rPr>
            </w:pPr>
          </w:p>
        </w:tc>
        <w:tc>
          <w:tcPr>
            <w:tcW w:w="525" w:type="dxa"/>
            <w:tcBorders>
              <w:top w:val="nil"/>
              <w:left w:val="nil"/>
              <w:bottom w:val="single" w:color="auto" w:sz="4" w:space="0"/>
              <w:right w:val="single" w:color="auto" w:sz="4" w:space="0"/>
            </w:tcBorders>
            <w:shd w:val="clear" w:color="auto" w:fill="auto"/>
            <w:noWrap/>
            <w:vAlign w:val="center"/>
          </w:tcPr>
          <w:p w14:paraId="478DC562">
            <w:pPr>
              <w:widowControl/>
              <w:jc w:val="center"/>
              <w:rPr>
                <w:rFonts w:ascii="宋体" w:hAnsi="宋体" w:eastAsia="宋体" w:cs="宋体"/>
                <w:kern w:val="0"/>
                <w:sz w:val="18"/>
                <w:szCs w:val="18"/>
                <w:highlight w:val="none"/>
                <w:u w:val="none"/>
              </w:rPr>
            </w:pPr>
          </w:p>
        </w:tc>
        <w:tc>
          <w:tcPr>
            <w:tcW w:w="759" w:type="dxa"/>
            <w:tcBorders>
              <w:top w:val="nil"/>
              <w:left w:val="nil"/>
              <w:bottom w:val="single" w:color="auto" w:sz="4" w:space="0"/>
              <w:right w:val="single" w:color="auto" w:sz="4" w:space="0"/>
            </w:tcBorders>
            <w:shd w:val="clear" w:color="auto" w:fill="auto"/>
            <w:noWrap/>
            <w:vAlign w:val="center"/>
          </w:tcPr>
          <w:p w14:paraId="29C315F0">
            <w:pPr>
              <w:widowControl/>
              <w:jc w:val="center"/>
              <w:rPr>
                <w:rFonts w:ascii="宋体" w:hAnsi="宋体" w:eastAsia="宋体" w:cs="宋体"/>
                <w:kern w:val="0"/>
                <w:sz w:val="18"/>
                <w:szCs w:val="18"/>
                <w:highlight w:val="none"/>
                <w:u w:val="none"/>
              </w:rPr>
            </w:pPr>
          </w:p>
        </w:tc>
        <w:tc>
          <w:tcPr>
            <w:tcW w:w="397" w:type="dxa"/>
            <w:tcBorders>
              <w:top w:val="nil"/>
              <w:left w:val="nil"/>
              <w:bottom w:val="single" w:color="auto" w:sz="4" w:space="0"/>
              <w:right w:val="single" w:color="auto" w:sz="4" w:space="0"/>
            </w:tcBorders>
            <w:shd w:val="clear" w:color="auto" w:fill="auto"/>
            <w:noWrap/>
            <w:vAlign w:val="center"/>
          </w:tcPr>
          <w:p w14:paraId="40F2C4BC">
            <w:pPr>
              <w:widowControl/>
              <w:jc w:val="center"/>
              <w:rPr>
                <w:rFonts w:ascii="宋体" w:hAnsi="宋体" w:eastAsia="宋体" w:cs="宋体"/>
                <w:kern w:val="0"/>
                <w:sz w:val="18"/>
                <w:szCs w:val="18"/>
                <w:highlight w:val="none"/>
                <w:u w:val="none"/>
              </w:rPr>
            </w:pPr>
          </w:p>
        </w:tc>
        <w:tc>
          <w:tcPr>
            <w:tcW w:w="443" w:type="dxa"/>
            <w:tcBorders>
              <w:top w:val="nil"/>
              <w:left w:val="nil"/>
              <w:bottom w:val="single" w:color="auto" w:sz="4" w:space="0"/>
              <w:right w:val="single" w:color="auto" w:sz="4" w:space="0"/>
            </w:tcBorders>
            <w:shd w:val="clear" w:color="auto" w:fill="auto"/>
            <w:noWrap/>
            <w:vAlign w:val="center"/>
          </w:tcPr>
          <w:p w14:paraId="40AFABCC">
            <w:pPr>
              <w:widowControl/>
              <w:jc w:val="center"/>
              <w:rPr>
                <w:rFonts w:ascii="宋体" w:hAnsi="宋体" w:eastAsia="宋体" w:cs="宋体"/>
                <w:kern w:val="0"/>
                <w:sz w:val="18"/>
                <w:szCs w:val="18"/>
                <w:highlight w:val="none"/>
                <w:u w:val="none"/>
              </w:rPr>
            </w:pPr>
          </w:p>
        </w:tc>
        <w:tc>
          <w:tcPr>
            <w:tcW w:w="397" w:type="dxa"/>
            <w:tcBorders>
              <w:top w:val="nil"/>
              <w:left w:val="nil"/>
              <w:bottom w:val="single" w:color="auto" w:sz="4" w:space="0"/>
              <w:right w:val="single" w:color="auto" w:sz="4" w:space="0"/>
            </w:tcBorders>
            <w:shd w:val="clear" w:color="auto" w:fill="auto"/>
            <w:noWrap/>
            <w:vAlign w:val="center"/>
          </w:tcPr>
          <w:p w14:paraId="2F3A0AEF">
            <w:pPr>
              <w:widowControl/>
              <w:jc w:val="center"/>
              <w:rPr>
                <w:rFonts w:ascii="宋体" w:hAnsi="宋体" w:eastAsia="宋体" w:cs="宋体"/>
                <w:kern w:val="0"/>
                <w:sz w:val="18"/>
                <w:szCs w:val="18"/>
                <w:highlight w:val="none"/>
                <w:u w:val="none"/>
              </w:rPr>
            </w:pPr>
          </w:p>
        </w:tc>
        <w:tc>
          <w:tcPr>
            <w:tcW w:w="469" w:type="dxa"/>
            <w:tcBorders>
              <w:top w:val="nil"/>
              <w:left w:val="nil"/>
              <w:bottom w:val="single" w:color="auto" w:sz="4" w:space="0"/>
              <w:right w:val="single" w:color="auto" w:sz="4" w:space="0"/>
            </w:tcBorders>
            <w:shd w:val="clear" w:color="auto" w:fill="auto"/>
            <w:noWrap/>
            <w:vAlign w:val="center"/>
          </w:tcPr>
          <w:p w14:paraId="45837806">
            <w:pPr>
              <w:widowControl/>
              <w:jc w:val="center"/>
              <w:rPr>
                <w:rFonts w:ascii="宋体" w:hAnsi="宋体" w:eastAsia="宋体" w:cs="宋体"/>
                <w:kern w:val="0"/>
                <w:sz w:val="18"/>
                <w:szCs w:val="18"/>
                <w:highlight w:val="none"/>
                <w:u w:val="none"/>
              </w:rPr>
            </w:pPr>
          </w:p>
        </w:tc>
        <w:tc>
          <w:tcPr>
            <w:tcW w:w="578" w:type="dxa"/>
            <w:tcBorders>
              <w:top w:val="nil"/>
              <w:left w:val="nil"/>
              <w:bottom w:val="single" w:color="auto" w:sz="4" w:space="0"/>
              <w:right w:val="single" w:color="auto" w:sz="4" w:space="0"/>
            </w:tcBorders>
            <w:shd w:val="clear" w:color="auto" w:fill="auto"/>
            <w:noWrap/>
            <w:vAlign w:val="center"/>
          </w:tcPr>
          <w:p w14:paraId="02203537">
            <w:pPr>
              <w:widowControl/>
              <w:jc w:val="center"/>
              <w:rPr>
                <w:rFonts w:ascii="宋体" w:hAnsi="宋体" w:eastAsia="宋体" w:cs="宋体"/>
                <w:kern w:val="0"/>
                <w:sz w:val="18"/>
                <w:szCs w:val="18"/>
                <w:highlight w:val="none"/>
                <w:u w:val="none"/>
              </w:rPr>
            </w:pPr>
          </w:p>
        </w:tc>
        <w:tc>
          <w:tcPr>
            <w:tcW w:w="443" w:type="dxa"/>
            <w:tcBorders>
              <w:top w:val="nil"/>
              <w:left w:val="nil"/>
              <w:bottom w:val="single" w:color="auto" w:sz="4" w:space="0"/>
              <w:right w:val="single" w:color="auto" w:sz="4" w:space="0"/>
            </w:tcBorders>
            <w:shd w:val="clear" w:color="auto" w:fill="auto"/>
            <w:noWrap/>
            <w:vAlign w:val="center"/>
          </w:tcPr>
          <w:p w14:paraId="7ED4CC5E">
            <w:pPr>
              <w:widowControl/>
              <w:jc w:val="center"/>
              <w:rPr>
                <w:rFonts w:ascii="宋体" w:hAnsi="宋体" w:eastAsia="宋体" w:cs="宋体"/>
                <w:kern w:val="0"/>
                <w:sz w:val="18"/>
                <w:szCs w:val="18"/>
                <w:highlight w:val="none"/>
                <w:u w:val="none"/>
              </w:rPr>
            </w:pPr>
          </w:p>
        </w:tc>
        <w:tc>
          <w:tcPr>
            <w:tcW w:w="578" w:type="dxa"/>
            <w:tcBorders>
              <w:top w:val="nil"/>
              <w:left w:val="nil"/>
              <w:bottom w:val="single" w:color="auto" w:sz="4" w:space="0"/>
              <w:right w:val="single" w:color="auto" w:sz="4" w:space="0"/>
            </w:tcBorders>
            <w:shd w:val="clear" w:color="auto" w:fill="auto"/>
            <w:noWrap/>
            <w:vAlign w:val="center"/>
          </w:tcPr>
          <w:p w14:paraId="31130F27">
            <w:pPr>
              <w:widowControl/>
              <w:jc w:val="center"/>
              <w:rPr>
                <w:rFonts w:ascii="宋体" w:hAnsi="宋体" w:eastAsia="宋体" w:cs="宋体"/>
                <w:kern w:val="0"/>
                <w:sz w:val="18"/>
                <w:szCs w:val="18"/>
                <w:highlight w:val="none"/>
                <w:u w:val="none"/>
              </w:rPr>
            </w:pPr>
          </w:p>
        </w:tc>
        <w:tc>
          <w:tcPr>
            <w:tcW w:w="479" w:type="dxa"/>
            <w:tcBorders>
              <w:top w:val="nil"/>
              <w:left w:val="nil"/>
              <w:bottom w:val="single" w:color="auto" w:sz="4" w:space="0"/>
              <w:right w:val="single" w:color="auto" w:sz="4" w:space="0"/>
            </w:tcBorders>
            <w:shd w:val="clear" w:color="auto" w:fill="auto"/>
            <w:noWrap/>
            <w:vAlign w:val="center"/>
          </w:tcPr>
          <w:p w14:paraId="06990A54">
            <w:pPr>
              <w:widowControl/>
              <w:jc w:val="center"/>
              <w:rPr>
                <w:rFonts w:ascii="宋体" w:hAnsi="宋体" w:eastAsia="宋体" w:cs="宋体"/>
                <w:kern w:val="0"/>
                <w:sz w:val="18"/>
                <w:szCs w:val="18"/>
                <w:highlight w:val="none"/>
                <w:u w:val="none"/>
              </w:rPr>
            </w:pPr>
          </w:p>
        </w:tc>
        <w:tc>
          <w:tcPr>
            <w:tcW w:w="462" w:type="dxa"/>
            <w:tcBorders>
              <w:top w:val="nil"/>
              <w:left w:val="nil"/>
              <w:bottom w:val="single" w:color="auto" w:sz="4" w:space="0"/>
              <w:right w:val="single" w:color="auto" w:sz="4" w:space="0"/>
            </w:tcBorders>
            <w:shd w:val="clear" w:color="auto" w:fill="auto"/>
            <w:noWrap/>
            <w:vAlign w:val="center"/>
          </w:tcPr>
          <w:p w14:paraId="46422244">
            <w:pPr>
              <w:widowControl/>
              <w:jc w:val="center"/>
              <w:rPr>
                <w:rFonts w:ascii="宋体" w:hAnsi="宋体" w:eastAsia="宋体" w:cs="宋体"/>
                <w:kern w:val="0"/>
                <w:sz w:val="18"/>
                <w:szCs w:val="18"/>
                <w:highlight w:val="none"/>
                <w:u w:val="none"/>
              </w:rPr>
            </w:pPr>
          </w:p>
        </w:tc>
        <w:tc>
          <w:tcPr>
            <w:tcW w:w="715" w:type="dxa"/>
            <w:tcBorders>
              <w:top w:val="nil"/>
              <w:left w:val="nil"/>
              <w:bottom w:val="single" w:color="auto" w:sz="4" w:space="0"/>
              <w:right w:val="single" w:color="auto" w:sz="4" w:space="0"/>
            </w:tcBorders>
            <w:shd w:val="clear" w:color="auto" w:fill="auto"/>
            <w:noWrap/>
            <w:vAlign w:val="center"/>
          </w:tcPr>
          <w:p w14:paraId="21334EED">
            <w:pPr>
              <w:widowControl/>
              <w:jc w:val="center"/>
              <w:rPr>
                <w:rFonts w:ascii="宋体" w:hAnsi="宋体" w:eastAsia="宋体" w:cs="宋体"/>
                <w:kern w:val="0"/>
                <w:sz w:val="18"/>
                <w:szCs w:val="18"/>
                <w:highlight w:val="none"/>
                <w:u w:val="none"/>
              </w:rPr>
            </w:pPr>
          </w:p>
        </w:tc>
        <w:tc>
          <w:tcPr>
            <w:tcW w:w="628" w:type="dxa"/>
            <w:tcBorders>
              <w:top w:val="nil"/>
              <w:left w:val="nil"/>
              <w:bottom w:val="single" w:color="auto" w:sz="4" w:space="0"/>
              <w:right w:val="single" w:color="auto" w:sz="4" w:space="0"/>
            </w:tcBorders>
            <w:shd w:val="clear" w:color="auto" w:fill="auto"/>
            <w:noWrap/>
            <w:vAlign w:val="center"/>
          </w:tcPr>
          <w:p w14:paraId="6B4F1B31">
            <w:pPr>
              <w:widowControl/>
              <w:jc w:val="center"/>
              <w:rPr>
                <w:rFonts w:ascii="宋体" w:hAnsi="宋体" w:eastAsia="宋体" w:cs="宋体"/>
                <w:kern w:val="0"/>
                <w:sz w:val="18"/>
                <w:szCs w:val="18"/>
                <w:highlight w:val="none"/>
                <w:u w:val="none"/>
              </w:rPr>
            </w:pPr>
          </w:p>
        </w:tc>
        <w:tc>
          <w:tcPr>
            <w:tcW w:w="616" w:type="dxa"/>
            <w:tcBorders>
              <w:top w:val="single" w:color="auto" w:sz="4" w:space="0"/>
              <w:left w:val="nil"/>
              <w:bottom w:val="single" w:color="auto" w:sz="4" w:space="0"/>
              <w:right w:val="single" w:color="auto" w:sz="4" w:space="0"/>
            </w:tcBorders>
            <w:shd w:val="clear" w:color="auto" w:fill="auto"/>
            <w:noWrap/>
            <w:vAlign w:val="center"/>
          </w:tcPr>
          <w:p w14:paraId="7A1EC506">
            <w:pPr>
              <w:widowControl/>
              <w:jc w:val="center"/>
              <w:rPr>
                <w:rFonts w:ascii="宋体" w:hAnsi="宋体" w:eastAsia="宋体" w:cs="宋体"/>
                <w:kern w:val="0"/>
                <w:sz w:val="18"/>
                <w:szCs w:val="18"/>
                <w:highlight w:val="none"/>
                <w:u w:val="none"/>
              </w:rPr>
            </w:pPr>
          </w:p>
        </w:tc>
        <w:tc>
          <w:tcPr>
            <w:tcW w:w="462" w:type="dxa"/>
            <w:tcBorders>
              <w:top w:val="nil"/>
              <w:left w:val="nil"/>
              <w:bottom w:val="single" w:color="auto" w:sz="4" w:space="0"/>
              <w:right w:val="single" w:color="auto" w:sz="4" w:space="0"/>
            </w:tcBorders>
            <w:shd w:val="clear" w:color="auto" w:fill="auto"/>
            <w:noWrap/>
            <w:vAlign w:val="center"/>
          </w:tcPr>
          <w:p w14:paraId="3F293BF5">
            <w:pPr>
              <w:widowControl/>
              <w:jc w:val="center"/>
              <w:rPr>
                <w:rFonts w:ascii="宋体" w:hAnsi="宋体" w:eastAsia="宋体" w:cs="宋体"/>
                <w:kern w:val="0"/>
                <w:sz w:val="18"/>
                <w:szCs w:val="18"/>
                <w:highlight w:val="none"/>
                <w:u w:val="none"/>
              </w:rPr>
            </w:pPr>
          </w:p>
        </w:tc>
        <w:tc>
          <w:tcPr>
            <w:tcW w:w="658" w:type="dxa"/>
            <w:tcBorders>
              <w:top w:val="nil"/>
              <w:left w:val="nil"/>
              <w:bottom w:val="single" w:color="auto" w:sz="4" w:space="0"/>
              <w:right w:val="single" w:color="auto" w:sz="4" w:space="0"/>
            </w:tcBorders>
            <w:shd w:val="clear" w:color="auto" w:fill="auto"/>
            <w:vAlign w:val="center"/>
          </w:tcPr>
          <w:p w14:paraId="025405D5">
            <w:pPr>
              <w:widowControl/>
              <w:jc w:val="center"/>
              <w:rPr>
                <w:rFonts w:ascii="宋体" w:hAnsi="宋体" w:eastAsia="宋体" w:cs="宋体"/>
                <w:kern w:val="0"/>
                <w:sz w:val="18"/>
                <w:szCs w:val="18"/>
                <w:highlight w:val="none"/>
                <w:u w:val="none"/>
              </w:rPr>
            </w:pPr>
            <w:r>
              <w:rPr>
                <w:rFonts w:hint="eastAsia" w:ascii="宋体" w:hAnsi="宋体" w:eastAsia="宋体" w:cs="宋体"/>
                <w:kern w:val="0"/>
                <w:sz w:val="18"/>
                <w:szCs w:val="18"/>
                <w:highlight w:val="none"/>
                <w:u w:val="none"/>
              </w:rPr>
              <w:t>张三(基金投委)</w:t>
            </w:r>
          </w:p>
        </w:tc>
      </w:tr>
      <w:tr w14:paraId="250E1F0E">
        <w:tblPrEx>
          <w:tblCellMar>
            <w:top w:w="0" w:type="dxa"/>
            <w:left w:w="108" w:type="dxa"/>
            <w:bottom w:w="0" w:type="dxa"/>
            <w:right w:w="108" w:type="dxa"/>
          </w:tblCellMar>
        </w:tblPrEx>
        <w:trPr>
          <w:trHeight w:val="330" w:hRule="atLeast"/>
          <w:jc w:val="center"/>
        </w:trPr>
        <w:tc>
          <w:tcPr>
            <w:tcW w:w="1008" w:type="dxa"/>
            <w:tcBorders>
              <w:top w:val="nil"/>
              <w:left w:val="single" w:color="auto" w:sz="4" w:space="0"/>
              <w:bottom w:val="single" w:color="auto" w:sz="4" w:space="0"/>
              <w:right w:val="single" w:color="auto" w:sz="4" w:space="0"/>
            </w:tcBorders>
            <w:shd w:val="clear" w:color="auto" w:fill="auto"/>
            <w:noWrap/>
            <w:vAlign w:val="center"/>
          </w:tcPr>
          <w:p w14:paraId="347BBFAE">
            <w:pPr>
              <w:widowControl/>
              <w:jc w:val="center"/>
              <w:rPr>
                <w:rFonts w:ascii="宋体" w:hAnsi="宋体" w:eastAsia="宋体" w:cs="宋体"/>
                <w:kern w:val="0"/>
                <w:sz w:val="18"/>
                <w:szCs w:val="18"/>
                <w:highlight w:val="none"/>
                <w:u w:val="none"/>
              </w:rPr>
            </w:pPr>
          </w:p>
        </w:tc>
        <w:tc>
          <w:tcPr>
            <w:tcW w:w="952" w:type="dxa"/>
            <w:tcBorders>
              <w:top w:val="nil"/>
              <w:left w:val="nil"/>
              <w:bottom w:val="single" w:color="auto" w:sz="4" w:space="0"/>
              <w:right w:val="single" w:color="auto" w:sz="4" w:space="0"/>
            </w:tcBorders>
            <w:shd w:val="clear" w:color="auto" w:fill="auto"/>
            <w:noWrap/>
            <w:vAlign w:val="center"/>
          </w:tcPr>
          <w:p w14:paraId="730361D6">
            <w:pPr>
              <w:widowControl/>
              <w:jc w:val="center"/>
              <w:rPr>
                <w:rFonts w:ascii="宋体" w:hAnsi="宋体" w:eastAsia="宋体" w:cs="宋体"/>
                <w:kern w:val="0"/>
                <w:sz w:val="18"/>
                <w:szCs w:val="18"/>
                <w:highlight w:val="none"/>
                <w:u w:val="none"/>
              </w:rPr>
            </w:pPr>
          </w:p>
        </w:tc>
        <w:tc>
          <w:tcPr>
            <w:tcW w:w="1162" w:type="dxa"/>
            <w:tcBorders>
              <w:top w:val="nil"/>
              <w:left w:val="nil"/>
              <w:bottom w:val="single" w:color="auto" w:sz="4" w:space="0"/>
              <w:right w:val="single" w:color="auto" w:sz="4" w:space="0"/>
            </w:tcBorders>
            <w:shd w:val="clear" w:color="auto" w:fill="auto"/>
            <w:noWrap/>
            <w:vAlign w:val="center"/>
          </w:tcPr>
          <w:p w14:paraId="2FB7716D">
            <w:pPr>
              <w:widowControl/>
              <w:jc w:val="center"/>
              <w:rPr>
                <w:rFonts w:ascii="宋体" w:hAnsi="宋体" w:eastAsia="宋体" w:cs="宋体"/>
                <w:kern w:val="0"/>
                <w:sz w:val="18"/>
                <w:szCs w:val="18"/>
                <w:highlight w:val="none"/>
                <w:u w:val="none"/>
              </w:rPr>
            </w:pPr>
          </w:p>
        </w:tc>
        <w:tc>
          <w:tcPr>
            <w:tcW w:w="944" w:type="dxa"/>
            <w:tcBorders>
              <w:top w:val="nil"/>
              <w:left w:val="nil"/>
              <w:bottom w:val="single" w:color="auto" w:sz="4" w:space="0"/>
              <w:right w:val="single" w:color="auto" w:sz="4" w:space="0"/>
            </w:tcBorders>
            <w:shd w:val="clear" w:color="auto" w:fill="auto"/>
            <w:noWrap/>
            <w:vAlign w:val="center"/>
          </w:tcPr>
          <w:p w14:paraId="1C18C92F">
            <w:pPr>
              <w:widowControl/>
              <w:jc w:val="center"/>
              <w:rPr>
                <w:rFonts w:ascii="宋体" w:hAnsi="宋体" w:eastAsia="宋体" w:cs="宋体"/>
                <w:kern w:val="0"/>
                <w:sz w:val="18"/>
                <w:szCs w:val="18"/>
                <w:highlight w:val="none"/>
                <w:u w:val="none"/>
              </w:rPr>
            </w:pPr>
          </w:p>
        </w:tc>
        <w:tc>
          <w:tcPr>
            <w:tcW w:w="582" w:type="dxa"/>
            <w:tcBorders>
              <w:top w:val="nil"/>
              <w:left w:val="nil"/>
              <w:bottom w:val="single" w:color="auto" w:sz="4" w:space="0"/>
              <w:right w:val="single" w:color="auto" w:sz="4" w:space="0"/>
            </w:tcBorders>
            <w:shd w:val="clear" w:color="auto" w:fill="auto"/>
            <w:noWrap/>
            <w:vAlign w:val="center"/>
          </w:tcPr>
          <w:p w14:paraId="28259527">
            <w:pPr>
              <w:widowControl/>
              <w:jc w:val="center"/>
              <w:rPr>
                <w:rFonts w:ascii="宋体" w:hAnsi="宋体" w:eastAsia="宋体" w:cs="宋体"/>
                <w:kern w:val="0"/>
                <w:sz w:val="18"/>
                <w:szCs w:val="18"/>
                <w:highlight w:val="none"/>
                <w:u w:val="none"/>
              </w:rPr>
            </w:pPr>
          </w:p>
        </w:tc>
        <w:tc>
          <w:tcPr>
            <w:tcW w:w="770" w:type="dxa"/>
            <w:tcBorders>
              <w:top w:val="nil"/>
              <w:left w:val="nil"/>
              <w:bottom w:val="single" w:color="auto" w:sz="4" w:space="0"/>
              <w:right w:val="single" w:color="auto" w:sz="4" w:space="0"/>
            </w:tcBorders>
            <w:shd w:val="clear" w:color="auto" w:fill="auto"/>
            <w:noWrap/>
            <w:vAlign w:val="center"/>
          </w:tcPr>
          <w:p w14:paraId="5ECDA714">
            <w:pPr>
              <w:widowControl/>
              <w:jc w:val="center"/>
              <w:rPr>
                <w:rFonts w:ascii="宋体" w:hAnsi="宋体" w:eastAsia="宋体" w:cs="宋体"/>
                <w:kern w:val="0"/>
                <w:sz w:val="18"/>
                <w:szCs w:val="18"/>
                <w:highlight w:val="none"/>
                <w:u w:val="none"/>
              </w:rPr>
            </w:pPr>
          </w:p>
        </w:tc>
        <w:tc>
          <w:tcPr>
            <w:tcW w:w="489" w:type="dxa"/>
            <w:tcBorders>
              <w:top w:val="nil"/>
              <w:left w:val="nil"/>
              <w:bottom w:val="single" w:color="auto" w:sz="4" w:space="0"/>
              <w:right w:val="single" w:color="auto" w:sz="4" w:space="0"/>
            </w:tcBorders>
            <w:shd w:val="clear" w:color="auto" w:fill="auto"/>
            <w:noWrap/>
            <w:vAlign w:val="center"/>
          </w:tcPr>
          <w:p w14:paraId="4D4673EA">
            <w:pPr>
              <w:widowControl/>
              <w:jc w:val="center"/>
              <w:rPr>
                <w:rFonts w:ascii="宋体" w:hAnsi="宋体" w:eastAsia="宋体" w:cs="宋体"/>
                <w:kern w:val="0"/>
                <w:sz w:val="18"/>
                <w:szCs w:val="18"/>
                <w:highlight w:val="none"/>
                <w:u w:val="none"/>
              </w:rPr>
            </w:pPr>
          </w:p>
        </w:tc>
        <w:tc>
          <w:tcPr>
            <w:tcW w:w="525" w:type="dxa"/>
            <w:tcBorders>
              <w:top w:val="nil"/>
              <w:left w:val="nil"/>
              <w:bottom w:val="single" w:color="auto" w:sz="4" w:space="0"/>
              <w:right w:val="single" w:color="auto" w:sz="4" w:space="0"/>
            </w:tcBorders>
            <w:shd w:val="clear" w:color="auto" w:fill="auto"/>
            <w:noWrap/>
            <w:vAlign w:val="center"/>
          </w:tcPr>
          <w:p w14:paraId="066FE9D7">
            <w:pPr>
              <w:widowControl/>
              <w:jc w:val="center"/>
              <w:rPr>
                <w:rFonts w:ascii="宋体" w:hAnsi="宋体" w:eastAsia="宋体" w:cs="宋体"/>
                <w:kern w:val="0"/>
                <w:sz w:val="18"/>
                <w:szCs w:val="18"/>
                <w:highlight w:val="none"/>
                <w:u w:val="none"/>
              </w:rPr>
            </w:pPr>
          </w:p>
        </w:tc>
        <w:tc>
          <w:tcPr>
            <w:tcW w:w="759" w:type="dxa"/>
            <w:tcBorders>
              <w:top w:val="nil"/>
              <w:left w:val="nil"/>
              <w:bottom w:val="single" w:color="auto" w:sz="4" w:space="0"/>
              <w:right w:val="single" w:color="auto" w:sz="4" w:space="0"/>
            </w:tcBorders>
            <w:shd w:val="clear" w:color="auto" w:fill="auto"/>
            <w:noWrap/>
            <w:vAlign w:val="center"/>
          </w:tcPr>
          <w:p w14:paraId="5926CD8B">
            <w:pPr>
              <w:widowControl/>
              <w:jc w:val="center"/>
              <w:rPr>
                <w:rFonts w:ascii="宋体" w:hAnsi="宋体" w:eastAsia="宋体" w:cs="宋体"/>
                <w:kern w:val="0"/>
                <w:sz w:val="18"/>
                <w:szCs w:val="18"/>
                <w:highlight w:val="none"/>
                <w:u w:val="none"/>
              </w:rPr>
            </w:pPr>
          </w:p>
        </w:tc>
        <w:tc>
          <w:tcPr>
            <w:tcW w:w="397" w:type="dxa"/>
            <w:tcBorders>
              <w:top w:val="nil"/>
              <w:left w:val="nil"/>
              <w:bottom w:val="single" w:color="auto" w:sz="4" w:space="0"/>
              <w:right w:val="single" w:color="auto" w:sz="4" w:space="0"/>
            </w:tcBorders>
            <w:shd w:val="clear" w:color="auto" w:fill="auto"/>
            <w:noWrap/>
            <w:vAlign w:val="center"/>
          </w:tcPr>
          <w:p w14:paraId="076FA8C4">
            <w:pPr>
              <w:widowControl/>
              <w:jc w:val="center"/>
              <w:rPr>
                <w:rFonts w:ascii="宋体" w:hAnsi="宋体" w:eastAsia="宋体" w:cs="宋体"/>
                <w:kern w:val="0"/>
                <w:sz w:val="18"/>
                <w:szCs w:val="18"/>
                <w:highlight w:val="none"/>
                <w:u w:val="none"/>
              </w:rPr>
            </w:pPr>
          </w:p>
        </w:tc>
        <w:tc>
          <w:tcPr>
            <w:tcW w:w="443" w:type="dxa"/>
            <w:tcBorders>
              <w:top w:val="nil"/>
              <w:left w:val="nil"/>
              <w:bottom w:val="single" w:color="auto" w:sz="4" w:space="0"/>
              <w:right w:val="single" w:color="auto" w:sz="4" w:space="0"/>
            </w:tcBorders>
            <w:shd w:val="clear" w:color="auto" w:fill="auto"/>
            <w:noWrap/>
            <w:vAlign w:val="center"/>
          </w:tcPr>
          <w:p w14:paraId="3C9127E9">
            <w:pPr>
              <w:widowControl/>
              <w:jc w:val="center"/>
              <w:rPr>
                <w:rFonts w:ascii="宋体" w:hAnsi="宋体" w:eastAsia="宋体" w:cs="宋体"/>
                <w:kern w:val="0"/>
                <w:sz w:val="18"/>
                <w:szCs w:val="18"/>
                <w:highlight w:val="none"/>
                <w:u w:val="none"/>
              </w:rPr>
            </w:pPr>
          </w:p>
        </w:tc>
        <w:tc>
          <w:tcPr>
            <w:tcW w:w="397" w:type="dxa"/>
            <w:tcBorders>
              <w:top w:val="nil"/>
              <w:left w:val="nil"/>
              <w:bottom w:val="single" w:color="auto" w:sz="4" w:space="0"/>
              <w:right w:val="single" w:color="auto" w:sz="4" w:space="0"/>
            </w:tcBorders>
            <w:shd w:val="clear" w:color="auto" w:fill="auto"/>
            <w:noWrap/>
            <w:vAlign w:val="center"/>
          </w:tcPr>
          <w:p w14:paraId="68BEF528">
            <w:pPr>
              <w:widowControl/>
              <w:jc w:val="center"/>
              <w:rPr>
                <w:rFonts w:ascii="宋体" w:hAnsi="宋体" w:eastAsia="宋体" w:cs="宋体"/>
                <w:kern w:val="0"/>
                <w:sz w:val="18"/>
                <w:szCs w:val="18"/>
                <w:highlight w:val="none"/>
                <w:u w:val="none"/>
              </w:rPr>
            </w:pPr>
          </w:p>
        </w:tc>
        <w:tc>
          <w:tcPr>
            <w:tcW w:w="469" w:type="dxa"/>
            <w:tcBorders>
              <w:top w:val="nil"/>
              <w:left w:val="nil"/>
              <w:bottom w:val="single" w:color="auto" w:sz="4" w:space="0"/>
              <w:right w:val="single" w:color="auto" w:sz="4" w:space="0"/>
            </w:tcBorders>
            <w:shd w:val="clear" w:color="auto" w:fill="auto"/>
            <w:noWrap/>
            <w:vAlign w:val="center"/>
          </w:tcPr>
          <w:p w14:paraId="2CCAF851">
            <w:pPr>
              <w:widowControl/>
              <w:jc w:val="center"/>
              <w:rPr>
                <w:rFonts w:ascii="宋体" w:hAnsi="宋体" w:eastAsia="宋体" w:cs="宋体"/>
                <w:kern w:val="0"/>
                <w:sz w:val="18"/>
                <w:szCs w:val="18"/>
                <w:highlight w:val="none"/>
                <w:u w:val="none"/>
              </w:rPr>
            </w:pPr>
          </w:p>
        </w:tc>
        <w:tc>
          <w:tcPr>
            <w:tcW w:w="578" w:type="dxa"/>
            <w:tcBorders>
              <w:top w:val="nil"/>
              <w:left w:val="nil"/>
              <w:bottom w:val="single" w:color="auto" w:sz="4" w:space="0"/>
              <w:right w:val="single" w:color="auto" w:sz="4" w:space="0"/>
            </w:tcBorders>
            <w:shd w:val="clear" w:color="auto" w:fill="auto"/>
            <w:noWrap/>
            <w:vAlign w:val="center"/>
          </w:tcPr>
          <w:p w14:paraId="23EB2ECE">
            <w:pPr>
              <w:widowControl/>
              <w:jc w:val="center"/>
              <w:rPr>
                <w:rFonts w:ascii="宋体" w:hAnsi="宋体" w:eastAsia="宋体" w:cs="宋体"/>
                <w:kern w:val="0"/>
                <w:sz w:val="18"/>
                <w:szCs w:val="18"/>
                <w:highlight w:val="none"/>
                <w:u w:val="none"/>
              </w:rPr>
            </w:pPr>
          </w:p>
        </w:tc>
        <w:tc>
          <w:tcPr>
            <w:tcW w:w="443" w:type="dxa"/>
            <w:tcBorders>
              <w:top w:val="nil"/>
              <w:left w:val="nil"/>
              <w:bottom w:val="single" w:color="auto" w:sz="4" w:space="0"/>
              <w:right w:val="single" w:color="auto" w:sz="4" w:space="0"/>
            </w:tcBorders>
            <w:shd w:val="clear" w:color="auto" w:fill="auto"/>
            <w:noWrap/>
            <w:vAlign w:val="center"/>
          </w:tcPr>
          <w:p w14:paraId="20C92786">
            <w:pPr>
              <w:widowControl/>
              <w:jc w:val="center"/>
              <w:rPr>
                <w:rFonts w:ascii="宋体" w:hAnsi="宋体" w:eastAsia="宋体" w:cs="宋体"/>
                <w:kern w:val="0"/>
                <w:sz w:val="18"/>
                <w:szCs w:val="18"/>
                <w:highlight w:val="none"/>
                <w:u w:val="none"/>
              </w:rPr>
            </w:pPr>
          </w:p>
        </w:tc>
        <w:tc>
          <w:tcPr>
            <w:tcW w:w="578" w:type="dxa"/>
            <w:tcBorders>
              <w:top w:val="nil"/>
              <w:left w:val="nil"/>
              <w:bottom w:val="single" w:color="auto" w:sz="4" w:space="0"/>
              <w:right w:val="single" w:color="auto" w:sz="4" w:space="0"/>
            </w:tcBorders>
            <w:shd w:val="clear" w:color="auto" w:fill="auto"/>
            <w:noWrap/>
            <w:vAlign w:val="center"/>
          </w:tcPr>
          <w:p w14:paraId="763CF8FA">
            <w:pPr>
              <w:widowControl/>
              <w:jc w:val="center"/>
              <w:rPr>
                <w:rFonts w:ascii="宋体" w:hAnsi="宋体" w:eastAsia="宋体" w:cs="宋体"/>
                <w:kern w:val="0"/>
                <w:sz w:val="18"/>
                <w:szCs w:val="18"/>
                <w:highlight w:val="none"/>
                <w:u w:val="none"/>
              </w:rPr>
            </w:pPr>
          </w:p>
        </w:tc>
        <w:tc>
          <w:tcPr>
            <w:tcW w:w="479" w:type="dxa"/>
            <w:tcBorders>
              <w:top w:val="nil"/>
              <w:left w:val="nil"/>
              <w:bottom w:val="single" w:color="auto" w:sz="4" w:space="0"/>
              <w:right w:val="single" w:color="auto" w:sz="4" w:space="0"/>
            </w:tcBorders>
            <w:shd w:val="clear" w:color="auto" w:fill="auto"/>
            <w:noWrap/>
            <w:vAlign w:val="center"/>
          </w:tcPr>
          <w:p w14:paraId="5E9B5477">
            <w:pPr>
              <w:widowControl/>
              <w:jc w:val="center"/>
              <w:rPr>
                <w:rFonts w:ascii="宋体" w:hAnsi="宋体" w:eastAsia="宋体" w:cs="宋体"/>
                <w:kern w:val="0"/>
                <w:sz w:val="18"/>
                <w:szCs w:val="18"/>
                <w:highlight w:val="none"/>
                <w:u w:val="none"/>
              </w:rPr>
            </w:pPr>
          </w:p>
        </w:tc>
        <w:tc>
          <w:tcPr>
            <w:tcW w:w="462" w:type="dxa"/>
            <w:tcBorders>
              <w:top w:val="nil"/>
              <w:left w:val="nil"/>
              <w:bottom w:val="single" w:color="auto" w:sz="4" w:space="0"/>
              <w:right w:val="single" w:color="auto" w:sz="4" w:space="0"/>
            </w:tcBorders>
            <w:shd w:val="clear" w:color="auto" w:fill="auto"/>
            <w:noWrap/>
            <w:vAlign w:val="center"/>
          </w:tcPr>
          <w:p w14:paraId="3FBBF6A6">
            <w:pPr>
              <w:widowControl/>
              <w:jc w:val="center"/>
              <w:rPr>
                <w:rFonts w:ascii="宋体" w:hAnsi="宋体" w:eastAsia="宋体" w:cs="宋体"/>
                <w:kern w:val="0"/>
                <w:sz w:val="18"/>
                <w:szCs w:val="18"/>
                <w:highlight w:val="none"/>
                <w:u w:val="none"/>
              </w:rPr>
            </w:pPr>
          </w:p>
        </w:tc>
        <w:tc>
          <w:tcPr>
            <w:tcW w:w="715" w:type="dxa"/>
            <w:tcBorders>
              <w:top w:val="nil"/>
              <w:left w:val="nil"/>
              <w:bottom w:val="single" w:color="auto" w:sz="4" w:space="0"/>
              <w:right w:val="single" w:color="auto" w:sz="4" w:space="0"/>
            </w:tcBorders>
            <w:shd w:val="clear" w:color="auto" w:fill="auto"/>
            <w:noWrap/>
            <w:vAlign w:val="center"/>
          </w:tcPr>
          <w:p w14:paraId="39132386">
            <w:pPr>
              <w:widowControl/>
              <w:jc w:val="center"/>
              <w:rPr>
                <w:rFonts w:ascii="宋体" w:hAnsi="宋体" w:eastAsia="宋体" w:cs="宋体"/>
                <w:kern w:val="0"/>
                <w:sz w:val="18"/>
                <w:szCs w:val="18"/>
                <w:highlight w:val="none"/>
                <w:u w:val="none"/>
              </w:rPr>
            </w:pPr>
          </w:p>
        </w:tc>
        <w:tc>
          <w:tcPr>
            <w:tcW w:w="628" w:type="dxa"/>
            <w:tcBorders>
              <w:top w:val="nil"/>
              <w:left w:val="nil"/>
              <w:bottom w:val="single" w:color="auto" w:sz="4" w:space="0"/>
              <w:right w:val="single" w:color="auto" w:sz="4" w:space="0"/>
            </w:tcBorders>
            <w:shd w:val="clear" w:color="auto" w:fill="auto"/>
            <w:noWrap/>
            <w:vAlign w:val="center"/>
          </w:tcPr>
          <w:p w14:paraId="4E03F214">
            <w:pPr>
              <w:widowControl/>
              <w:jc w:val="center"/>
              <w:rPr>
                <w:rFonts w:ascii="宋体" w:hAnsi="宋体" w:eastAsia="宋体" w:cs="宋体"/>
                <w:kern w:val="0"/>
                <w:sz w:val="18"/>
                <w:szCs w:val="18"/>
                <w:highlight w:val="none"/>
                <w:u w:val="none"/>
              </w:rPr>
            </w:pPr>
          </w:p>
        </w:tc>
        <w:tc>
          <w:tcPr>
            <w:tcW w:w="616" w:type="dxa"/>
            <w:tcBorders>
              <w:top w:val="single" w:color="auto" w:sz="4" w:space="0"/>
              <w:left w:val="nil"/>
              <w:bottom w:val="single" w:color="auto" w:sz="4" w:space="0"/>
              <w:right w:val="single" w:color="auto" w:sz="4" w:space="0"/>
            </w:tcBorders>
            <w:shd w:val="clear" w:color="auto" w:fill="auto"/>
            <w:noWrap/>
            <w:vAlign w:val="center"/>
          </w:tcPr>
          <w:p w14:paraId="71C800E9">
            <w:pPr>
              <w:widowControl/>
              <w:jc w:val="center"/>
              <w:rPr>
                <w:rFonts w:ascii="宋体" w:hAnsi="宋体" w:eastAsia="宋体" w:cs="宋体"/>
                <w:kern w:val="0"/>
                <w:sz w:val="18"/>
                <w:szCs w:val="18"/>
                <w:highlight w:val="none"/>
                <w:u w:val="none"/>
              </w:rPr>
            </w:pPr>
          </w:p>
        </w:tc>
        <w:tc>
          <w:tcPr>
            <w:tcW w:w="462" w:type="dxa"/>
            <w:tcBorders>
              <w:top w:val="nil"/>
              <w:left w:val="nil"/>
              <w:bottom w:val="single" w:color="auto" w:sz="4" w:space="0"/>
              <w:right w:val="single" w:color="auto" w:sz="4" w:space="0"/>
            </w:tcBorders>
            <w:shd w:val="clear" w:color="auto" w:fill="auto"/>
            <w:noWrap/>
            <w:vAlign w:val="center"/>
          </w:tcPr>
          <w:p w14:paraId="51C734DC">
            <w:pPr>
              <w:widowControl/>
              <w:jc w:val="center"/>
              <w:rPr>
                <w:rFonts w:ascii="宋体" w:hAnsi="宋体" w:eastAsia="宋体" w:cs="宋体"/>
                <w:kern w:val="0"/>
                <w:sz w:val="18"/>
                <w:szCs w:val="18"/>
                <w:highlight w:val="none"/>
                <w:u w:val="none"/>
              </w:rPr>
            </w:pPr>
          </w:p>
        </w:tc>
        <w:tc>
          <w:tcPr>
            <w:tcW w:w="658" w:type="dxa"/>
            <w:tcBorders>
              <w:top w:val="nil"/>
              <w:left w:val="nil"/>
              <w:bottom w:val="single" w:color="auto" w:sz="4" w:space="0"/>
              <w:right w:val="single" w:color="auto" w:sz="4" w:space="0"/>
            </w:tcBorders>
            <w:shd w:val="clear" w:color="auto" w:fill="auto"/>
            <w:noWrap/>
            <w:vAlign w:val="center"/>
          </w:tcPr>
          <w:p w14:paraId="31FF0B95">
            <w:pPr>
              <w:widowControl/>
              <w:jc w:val="center"/>
              <w:rPr>
                <w:rFonts w:ascii="宋体" w:hAnsi="宋体" w:eastAsia="宋体" w:cs="宋体"/>
                <w:kern w:val="0"/>
                <w:sz w:val="18"/>
                <w:szCs w:val="18"/>
                <w:highlight w:val="none"/>
                <w:u w:val="none"/>
              </w:rPr>
            </w:pPr>
          </w:p>
        </w:tc>
      </w:tr>
      <w:tr w14:paraId="5F0D4ABF">
        <w:tblPrEx>
          <w:tblCellMar>
            <w:top w:w="0" w:type="dxa"/>
            <w:left w:w="108" w:type="dxa"/>
            <w:bottom w:w="0" w:type="dxa"/>
            <w:right w:w="108" w:type="dxa"/>
          </w:tblCellMar>
        </w:tblPrEx>
        <w:trPr>
          <w:trHeight w:val="330" w:hRule="atLeast"/>
          <w:jc w:val="center"/>
        </w:trPr>
        <w:tc>
          <w:tcPr>
            <w:tcW w:w="5418"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25F37A2B">
            <w:pPr>
              <w:widowControl/>
              <w:jc w:val="center"/>
              <w:rPr>
                <w:rFonts w:ascii="宋体" w:hAnsi="宋体" w:eastAsia="宋体" w:cs="宋体"/>
                <w:b/>
                <w:bCs/>
                <w:kern w:val="0"/>
                <w:sz w:val="18"/>
                <w:szCs w:val="18"/>
                <w:highlight w:val="none"/>
                <w:u w:val="none"/>
              </w:rPr>
            </w:pPr>
            <w:r>
              <w:rPr>
                <w:rFonts w:hint="eastAsia" w:ascii="宋体" w:hAnsi="宋体" w:eastAsia="宋体" w:cs="宋体"/>
                <w:b/>
                <w:bCs/>
                <w:kern w:val="0"/>
                <w:sz w:val="18"/>
                <w:szCs w:val="18"/>
                <w:highlight w:val="none"/>
                <w:u w:val="none"/>
              </w:rPr>
              <w:t>合计</w:t>
            </w:r>
          </w:p>
        </w:tc>
        <w:tc>
          <w:tcPr>
            <w:tcW w:w="489" w:type="dxa"/>
            <w:tcBorders>
              <w:top w:val="nil"/>
              <w:left w:val="nil"/>
              <w:bottom w:val="single" w:color="auto" w:sz="4" w:space="0"/>
              <w:right w:val="single" w:color="auto" w:sz="4" w:space="0"/>
            </w:tcBorders>
            <w:shd w:val="clear" w:color="auto" w:fill="auto"/>
            <w:noWrap/>
            <w:vAlign w:val="center"/>
          </w:tcPr>
          <w:p w14:paraId="6CA05E57">
            <w:pPr>
              <w:widowControl/>
              <w:jc w:val="center"/>
              <w:rPr>
                <w:rFonts w:ascii="宋体" w:hAnsi="宋体" w:eastAsia="宋体" w:cs="宋体"/>
                <w:b/>
                <w:bCs/>
                <w:kern w:val="0"/>
                <w:sz w:val="18"/>
                <w:szCs w:val="18"/>
                <w:highlight w:val="none"/>
                <w:u w:val="none"/>
              </w:rPr>
            </w:pPr>
          </w:p>
        </w:tc>
        <w:tc>
          <w:tcPr>
            <w:tcW w:w="525" w:type="dxa"/>
            <w:tcBorders>
              <w:top w:val="nil"/>
              <w:left w:val="nil"/>
              <w:bottom w:val="single" w:color="auto" w:sz="4" w:space="0"/>
              <w:right w:val="single" w:color="auto" w:sz="4" w:space="0"/>
            </w:tcBorders>
            <w:shd w:val="clear" w:color="auto" w:fill="auto"/>
            <w:noWrap/>
            <w:vAlign w:val="center"/>
          </w:tcPr>
          <w:p w14:paraId="3A626042">
            <w:pPr>
              <w:widowControl/>
              <w:jc w:val="center"/>
              <w:rPr>
                <w:rFonts w:ascii="宋体" w:hAnsi="宋体" w:eastAsia="宋体" w:cs="宋体"/>
                <w:b/>
                <w:bCs/>
                <w:kern w:val="0"/>
                <w:sz w:val="18"/>
                <w:szCs w:val="18"/>
                <w:highlight w:val="none"/>
                <w:u w:val="none"/>
              </w:rPr>
            </w:pPr>
          </w:p>
        </w:tc>
        <w:tc>
          <w:tcPr>
            <w:tcW w:w="759" w:type="dxa"/>
            <w:tcBorders>
              <w:top w:val="nil"/>
              <w:left w:val="nil"/>
              <w:bottom w:val="single" w:color="auto" w:sz="4" w:space="0"/>
              <w:right w:val="single" w:color="auto" w:sz="4" w:space="0"/>
            </w:tcBorders>
            <w:shd w:val="clear" w:color="auto" w:fill="auto"/>
            <w:noWrap/>
            <w:vAlign w:val="center"/>
          </w:tcPr>
          <w:p w14:paraId="5FD01F67">
            <w:pPr>
              <w:widowControl/>
              <w:jc w:val="center"/>
              <w:rPr>
                <w:rFonts w:ascii="宋体" w:hAnsi="宋体" w:eastAsia="宋体" w:cs="宋体"/>
                <w:b/>
                <w:bCs/>
                <w:kern w:val="0"/>
                <w:sz w:val="18"/>
                <w:szCs w:val="18"/>
                <w:highlight w:val="none"/>
                <w:u w:val="none"/>
              </w:rPr>
            </w:pPr>
          </w:p>
        </w:tc>
        <w:tc>
          <w:tcPr>
            <w:tcW w:w="397" w:type="dxa"/>
            <w:tcBorders>
              <w:top w:val="nil"/>
              <w:left w:val="nil"/>
              <w:bottom w:val="single" w:color="auto" w:sz="4" w:space="0"/>
              <w:right w:val="single" w:color="auto" w:sz="4" w:space="0"/>
            </w:tcBorders>
            <w:shd w:val="clear" w:color="auto" w:fill="auto"/>
            <w:noWrap/>
            <w:vAlign w:val="center"/>
          </w:tcPr>
          <w:p w14:paraId="3479F852">
            <w:pPr>
              <w:widowControl/>
              <w:jc w:val="center"/>
              <w:rPr>
                <w:rFonts w:ascii="宋体" w:hAnsi="宋体" w:eastAsia="宋体" w:cs="宋体"/>
                <w:b/>
                <w:bCs/>
                <w:kern w:val="0"/>
                <w:sz w:val="18"/>
                <w:szCs w:val="18"/>
                <w:highlight w:val="none"/>
                <w:u w:val="none"/>
              </w:rPr>
            </w:pPr>
          </w:p>
        </w:tc>
        <w:tc>
          <w:tcPr>
            <w:tcW w:w="443" w:type="dxa"/>
            <w:tcBorders>
              <w:top w:val="nil"/>
              <w:left w:val="nil"/>
              <w:bottom w:val="single" w:color="auto" w:sz="4" w:space="0"/>
              <w:right w:val="single" w:color="auto" w:sz="4" w:space="0"/>
            </w:tcBorders>
            <w:shd w:val="clear" w:color="auto" w:fill="auto"/>
            <w:noWrap/>
            <w:vAlign w:val="center"/>
          </w:tcPr>
          <w:p w14:paraId="45436D54">
            <w:pPr>
              <w:widowControl/>
              <w:jc w:val="center"/>
              <w:rPr>
                <w:rFonts w:ascii="宋体" w:hAnsi="宋体" w:eastAsia="宋体" w:cs="宋体"/>
                <w:b/>
                <w:bCs/>
                <w:kern w:val="0"/>
                <w:sz w:val="18"/>
                <w:szCs w:val="18"/>
                <w:highlight w:val="none"/>
                <w:u w:val="none"/>
              </w:rPr>
            </w:pPr>
          </w:p>
        </w:tc>
        <w:tc>
          <w:tcPr>
            <w:tcW w:w="397" w:type="dxa"/>
            <w:tcBorders>
              <w:top w:val="nil"/>
              <w:left w:val="nil"/>
              <w:bottom w:val="single" w:color="auto" w:sz="4" w:space="0"/>
              <w:right w:val="single" w:color="auto" w:sz="4" w:space="0"/>
            </w:tcBorders>
            <w:shd w:val="clear" w:color="auto" w:fill="auto"/>
            <w:noWrap/>
            <w:vAlign w:val="center"/>
          </w:tcPr>
          <w:p w14:paraId="6B57C9B5">
            <w:pPr>
              <w:widowControl/>
              <w:jc w:val="center"/>
              <w:rPr>
                <w:rFonts w:ascii="宋体" w:hAnsi="宋体" w:eastAsia="宋体" w:cs="宋体"/>
                <w:b/>
                <w:bCs/>
                <w:kern w:val="0"/>
                <w:sz w:val="18"/>
                <w:szCs w:val="18"/>
                <w:highlight w:val="none"/>
                <w:u w:val="none"/>
              </w:rPr>
            </w:pPr>
          </w:p>
        </w:tc>
        <w:tc>
          <w:tcPr>
            <w:tcW w:w="469" w:type="dxa"/>
            <w:tcBorders>
              <w:top w:val="nil"/>
              <w:left w:val="nil"/>
              <w:bottom w:val="single" w:color="auto" w:sz="4" w:space="0"/>
              <w:right w:val="single" w:color="auto" w:sz="4" w:space="0"/>
            </w:tcBorders>
            <w:shd w:val="clear" w:color="auto" w:fill="auto"/>
            <w:noWrap/>
            <w:vAlign w:val="center"/>
          </w:tcPr>
          <w:p w14:paraId="682DA9F6">
            <w:pPr>
              <w:widowControl/>
              <w:jc w:val="center"/>
              <w:rPr>
                <w:rFonts w:ascii="宋体" w:hAnsi="宋体" w:eastAsia="宋体" w:cs="宋体"/>
                <w:b/>
                <w:bCs/>
                <w:kern w:val="0"/>
                <w:sz w:val="18"/>
                <w:szCs w:val="18"/>
                <w:highlight w:val="none"/>
                <w:u w:val="none"/>
              </w:rPr>
            </w:pPr>
          </w:p>
        </w:tc>
        <w:tc>
          <w:tcPr>
            <w:tcW w:w="578" w:type="dxa"/>
            <w:tcBorders>
              <w:top w:val="nil"/>
              <w:left w:val="nil"/>
              <w:bottom w:val="single" w:color="auto" w:sz="4" w:space="0"/>
              <w:right w:val="single" w:color="auto" w:sz="4" w:space="0"/>
            </w:tcBorders>
            <w:shd w:val="clear" w:color="auto" w:fill="auto"/>
            <w:noWrap/>
            <w:vAlign w:val="center"/>
          </w:tcPr>
          <w:p w14:paraId="4DF20751">
            <w:pPr>
              <w:widowControl/>
              <w:jc w:val="center"/>
              <w:rPr>
                <w:rFonts w:ascii="宋体" w:hAnsi="宋体" w:eastAsia="宋体" w:cs="宋体"/>
                <w:b/>
                <w:bCs/>
                <w:kern w:val="0"/>
                <w:sz w:val="18"/>
                <w:szCs w:val="18"/>
                <w:highlight w:val="none"/>
                <w:u w:val="none"/>
              </w:rPr>
            </w:pPr>
          </w:p>
        </w:tc>
        <w:tc>
          <w:tcPr>
            <w:tcW w:w="443" w:type="dxa"/>
            <w:tcBorders>
              <w:top w:val="nil"/>
              <w:left w:val="nil"/>
              <w:bottom w:val="single" w:color="auto" w:sz="4" w:space="0"/>
              <w:right w:val="single" w:color="auto" w:sz="4" w:space="0"/>
            </w:tcBorders>
            <w:shd w:val="clear" w:color="auto" w:fill="auto"/>
            <w:noWrap/>
            <w:vAlign w:val="center"/>
          </w:tcPr>
          <w:p w14:paraId="01B743BD">
            <w:pPr>
              <w:widowControl/>
              <w:jc w:val="center"/>
              <w:rPr>
                <w:rFonts w:ascii="宋体" w:hAnsi="宋体" w:eastAsia="宋体" w:cs="宋体"/>
                <w:b/>
                <w:bCs/>
                <w:kern w:val="0"/>
                <w:sz w:val="18"/>
                <w:szCs w:val="18"/>
                <w:highlight w:val="none"/>
                <w:u w:val="none"/>
              </w:rPr>
            </w:pPr>
          </w:p>
        </w:tc>
        <w:tc>
          <w:tcPr>
            <w:tcW w:w="578" w:type="dxa"/>
            <w:tcBorders>
              <w:top w:val="nil"/>
              <w:left w:val="nil"/>
              <w:bottom w:val="single" w:color="auto" w:sz="4" w:space="0"/>
              <w:right w:val="single" w:color="auto" w:sz="4" w:space="0"/>
            </w:tcBorders>
            <w:shd w:val="clear" w:color="auto" w:fill="auto"/>
            <w:noWrap/>
            <w:vAlign w:val="center"/>
          </w:tcPr>
          <w:p w14:paraId="5AD7F6BA">
            <w:pPr>
              <w:widowControl/>
              <w:jc w:val="center"/>
              <w:rPr>
                <w:rFonts w:ascii="宋体" w:hAnsi="宋体" w:eastAsia="宋体" w:cs="宋体"/>
                <w:b/>
                <w:bCs/>
                <w:kern w:val="0"/>
                <w:sz w:val="18"/>
                <w:szCs w:val="18"/>
                <w:highlight w:val="none"/>
                <w:u w:val="none"/>
              </w:rPr>
            </w:pPr>
          </w:p>
        </w:tc>
        <w:tc>
          <w:tcPr>
            <w:tcW w:w="479" w:type="dxa"/>
            <w:tcBorders>
              <w:top w:val="nil"/>
              <w:left w:val="nil"/>
              <w:bottom w:val="single" w:color="auto" w:sz="4" w:space="0"/>
              <w:right w:val="single" w:color="auto" w:sz="4" w:space="0"/>
            </w:tcBorders>
            <w:shd w:val="clear" w:color="auto" w:fill="auto"/>
            <w:noWrap/>
            <w:vAlign w:val="center"/>
          </w:tcPr>
          <w:p w14:paraId="68B136C6">
            <w:pPr>
              <w:widowControl/>
              <w:jc w:val="center"/>
              <w:rPr>
                <w:rFonts w:ascii="宋体" w:hAnsi="宋体" w:eastAsia="宋体" w:cs="宋体"/>
                <w:b/>
                <w:bCs/>
                <w:kern w:val="0"/>
                <w:sz w:val="18"/>
                <w:szCs w:val="18"/>
                <w:highlight w:val="none"/>
                <w:u w:val="none"/>
              </w:rPr>
            </w:pPr>
          </w:p>
        </w:tc>
        <w:tc>
          <w:tcPr>
            <w:tcW w:w="462" w:type="dxa"/>
            <w:tcBorders>
              <w:top w:val="nil"/>
              <w:left w:val="nil"/>
              <w:bottom w:val="single" w:color="auto" w:sz="4" w:space="0"/>
              <w:right w:val="single" w:color="auto" w:sz="4" w:space="0"/>
            </w:tcBorders>
            <w:shd w:val="clear" w:color="auto" w:fill="auto"/>
            <w:noWrap/>
            <w:vAlign w:val="center"/>
          </w:tcPr>
          <w:p w14:paraId="57269489">
            <w:pPr>
              <w:widowControl/>
              <w:jc w:val="center"/>
              <w:rPr>
                <w:rFonts w:ascii="宋体" w:hAnsi="宋体" w:eastAsia="宋体" w:cs="宋体"/>
                <w:b/>
                <w:bCs/>
                <w:kern w:val="0"/>
                <w:sz w:val="18"/>
                <w:szCs w:val="18"/>
                <w:highlight w:val="none"/>
                <w:u w:val="none"/>
              </w:rPr>
            </w:pPr>
          </w:p>
        </w:tc>
        <w:tc>
          <w:tcPr>
            <w:tcW w:w="715" w:type="dxa"/>
            <w:tcBorders>
              <w:top w:val="nil"/>
              <w:left w:val="nil"/>
              <w:bottom w:val="single" w:color="auto" w:sz="4" w:space="0"/>
              <w:right w:val="single" w:color="auto" w:sz="4" w:space="0"/>
            </w:tcBorders>
            <w:shd w:val="clear" w:color="auto" w:fill="auto"/>
            <w:noWrap/>
            <w:vAlign w:val="center"/>
          </w:tcPr>
          <w:p w14:paraId="24E7F76A">
            <w:pPr>
              <w:widowControl/>
              <w:jc w:val="center"/>
              <w:rPr>
                <w:rFonts w:ascii="宋体" w:hAnsi="宋体" w:eastAsia="宋体" w:cs="宋体"/>
                <w:kern w:val="0"/>
                <w:sz w:val="18"/>
                <w:szCs w:val="18"/>
                <w:highlight w:val="none"/>
                <w:u w:val="none"/>
              </w:rPr>
            </w:pPr>
          </w:p>
        </w:tc>
        <w:tc>
          <w:tcPr>
            <w:tcW w:w="628" w:type="dxa"/>
            <w:tcBorders>
              <w:top w:val="nil"/>
              <w:left w:val="nil"/>
              <w:bottom w:val="single" w:color="auto" w:sz="4" w:space="0"/>
              <w:right w:val="single" w:color="auto" w:sz="4" w:space="0"/>
            </w:tcBorders>
            <w:shd w:val="clear" w:color="auto" w:fill="auto"/>
            <w:noWrap/>
            <w:vAlign w:val="center"/>
          </w:tcPr>
          <w:p w14:paraId="1319A61C">
            <w:pPr>
              <w:widowControl/>
              <w:jc w:val="center"/>
              <w:rPr>
                <w:rFonts w:ascii="宋体" w:hAnsi="宋体" w:eastAsia="宋体" w:cs="宋体"/>
                <w:kern w:val="0"/>
                <w:sz w:val="18"/>
                <w:szCs w:val="18"/>
                <w:highlight w:val="none"/>
                <w:u w:val="none"/>
              </w:rPr>
            </w:pPr>
          </w:p>
        </w:tc>
        <w:tc>
          <w:tcPr>
            <w:tcW w:w="616" w:type="dxa"/>
            <w:tcBorders>
              <w:top w:val="single" w:color="auto" w:sz="4" w:space="0"/>
              <w:left w:val="nil"/>
              <w:bottom w:val="single" w:color="auto" w:sz="4" w:space="0"/>
              <w:right w:val="single" w:color="auto" w:sz="4" w:space="0"/>
            </w:tcBorders>
            <w:shd w:val="clear" w:color="auto" w:fill="auto"/>
            <w:noWrap/>
            <w:vAlign w:val="center"/>
          </w:tcPr>
          <w:p w14:paraId="293BF3E7">
            <w:pPr>
              <w:widowControl/>
              <w:jc w:val="center"/>
              <w:rPr>
                <w:rFonts w:ascii="宋体" w:hAnsi="宋体" w:eastAsia="宋体" w:cs="宋体"/>
                <w:kern w:val="0"/>
                <w:sz w:val="18"/>
                <w:szCs w:val="18"/>
                <w:highlight w:val="none"/>
                <w:u w:val="none"/>
              </w:rPr>
            </w:pPr>
          </w:p>
        </w:tc>
        <w:tc>
          <w:tcPr>
            <w:tcW w:w="462" w:type="dxa"/>
            <w:tcBorders>
              <w:top w:val="nil"/>
              <w:left w:val="nil"/>
              <w:bottom w:val="single" w:color="auto" w:sz="4" w:space="0"/>
              <w:right w:val="single" w:color="auto" w:sz="4" w:space="0"/>
            </w:tcBorders>
            <w:shd w:val="clear" w:color="auto" w:fill="auto"/>
            <w:noWrap/>
            <w:vAlign w:val="center"/>
          </w:tcPr>
          <w:p w14:paraId="7845164B">
            <w:pPr>
              <w:widowControl/>
              <w:jc w:val="center"/>
              <w:rPr>
                <w:rFonts w:ascii="宋体" w:hAnsi="宋体" w:eastAsia="宋体" w:cs="宋体"/>
                <w:b/>
                <w:bCs/>
                <w:kern w:val="0"/>
                <w:sz w:val="18"/>
                <w:szCs w:val="18"/>
                <w:highlight w:val="none"/>
                <w:u w:val="none"/>
              </w:rPr>
            </w:pPr>
          </w:p>
        </w:tc>
        <w:tc>
          <w:tcPr>
            <w:tcW w:w="658" w:type="dxa"/>
            <w:tcBorders>
              <w:top w:val="nil"/>
              <w:left w:val="nil"/>
              <w:bottom w:val="single" w:color="auto" w:sz="4" w:space="0"/>
              <w:right w:val="single" w:color="auto" w:sz="4" w:space="0"/>
            </w:tcBorders>
            <w:shd w:val="clear" w:color="auto" w:fill="auto"/>
            <w:noWrap/>
            <w:vAlign w:val="center"/>
          </w:tcPr>
          <w:p w14:paraId="08BA16A9">
            <w:pPr>
              <w:widowControl/>
              <w:jc w:val="center"/>
              <w:rPr>
                <w:rFonts w:ascii="宋体" w:hAnsi="宋体" w:eastAsia="宋体" w:cs="宋体"/>
                <w:kern w:val="0"/>
                <w:sz w:val="18"/>
                <w:szCs w:val="18"/>
                <w:highlight w:val="none"/>
                <w:u w:val="none"/>
              </w:rPr>
            </w:pPr>
          </w:p>
        </w:tc>
      </w:tr>
    </w:tbl>
    <w:p w14:paraId="0F8B2609">
      <w:pPr>
        <w:widowControl/>
        <w:jc w:val="left"/>
        <w:rPr>
          <w:rFonts w:ascii="Times New Roman" w:hAnsi="Times New Roman" w:eastAsia="仿宋_GB2312" w:cs="Times New Roman"/>
          <w:kern w:val="0"/>
          <w:sz w:val="32"/>
          <w:szCs w:val="32"/>
          <w:highlight w:val="none"/>
          <w:u w:val="none"/>
        </w:rPr>
      </w:pPr>
      <w:r>
        <w:rPr>
          <w:rFonts w:hint="eastAsia" w:ascii="Calibri" w:hAnsi="Calibri" w:eastAsia="宋体" w:cs="Times New Roman"/>
          <w:highlight w:val="none"/>
          <w:u w:val="none"/>
        </w:rPr>
        <w:t>注：估值请标注数据来源。</w:t>
      </w:r>
    </w:p>
    <w:p w14:paraId="3AADB9E0">
      <w:pPr>
        <w:widowControl/>
        <w:jc w:val="center"/>
        <w:rPr>
          <w:rFonts w:ascii="宋体" w:hAnsi="宋体" w:eastAsia="宋体" w:cs="宋体"/>
          <w:b/>
          <w:bCs/>
          <w:kern w:val="0"/>
          <w:szCs w:val="21"/>
          <w:highlight w:val="none"/>
          <w:u w:val="none"/>
        </w:rPr>
      </w:pPr>
      <w:r>
        <w:rPr>
          <w:rFonts w:hint="eastAsia" w:ascii="宋体" w:hAnsi="宋体" w:eastAsia="宋体" w:cs="宋体"/>
          <w:b/>
          <w:bCs/>
          <w:kern w:val="0"/>
          <w:szCs w:val="21"/>
          <w:highlight w:val="none"/>
          <w:u w:val="none"/>
        </w:rPr>
        <w:br w:type="page"/>
      </w:r>
    </w:p>
    <w:tbl>
      <w:tblPr>
        <w:tblStyle w:val="10"/>
        <w:tblW w:w="14684" w:type="dxa"/>
        <w:tblInd w:w="-350" w:type="dxa"/>
        <w:tblLayout w:type="fixed"/>
        <w:tblCellMar>
          <w:top w:w="0" w:type="dxa"/>
          <w:left w:w="108" w:type="dxa"/>
          <w:bottom w:w="0" w:type="dxa"/>
          <w:right w:w="108" w:type="dxa"/>
        </w:tblCellMar>
      </w:tblPr>
      <w:tblGrid>
        <w:gridCol w:w="977"/>
        <w:gridCol w:w="404"/>
        <w:gridCol w:w="724"/>
        <w:gridCol w:w="598"/>
        <w:gridCol w:w="599"/>
        <w:gridCol w:w="599"/>
        <w:gridCol w:w="598"/>
        <w:gridCol w:w="599"/>
        <w:gridCol w:w="599"/>
        <w:gridCol w:w="598"/>
        <w:gridCol w:w="599"/>
        <w:gridCol w:w="599"/>
        <w:gridCol w:w="599"/>
        <w:gridCol w:w="599"/>
        <w:gridCol w:w="599"/>
        <w:gridCol w:w="598"/>
        <w:gridCol w:w="599"/>
        <w:gridCol w:w="599"/>
        <w:gridCol w:w="598"/>
        <w:gridCol w:w="599"/>
        <w:gridCol w:w="599"/>
        <w:gridCol w:w="598"/>
        <w:gridCol w:w="602"/>
        <w:gridCol w:w="567"/>
        <w:gridCol w:w="35"/>
      </w:tblGrid>
      <w:tr w14:paraId="68F1FD50">
        <w:tblPrEx>
          <w:tblCellMar>
            <w:top w:w="0" w:type="dxa"/>
            <w:left w:w="108" w:type="dxa"/>
            <w:bottom w:w="0" w:type="dxa"/>
            <w:right w:w="108" w:type="dxa"/>
          </w:tblCellMar>
        </w:tblPrEx>
        <w:trPr>
          <w:gridAfter w:val="1"/>
          <w:wAfter w:w="35" w:type="dxa"/>
          <w:trHeight w:val="720" w:hRule="atLeast"/>
        </w:trPr>
        <w:tc>
          <w:tcPr>
            <w:tcW w:w="14649" w:type="dxa"/>
            <w:gridSpan w:val="24"/>
            <w:tcBorders>
              <w:top w:val="nil"/>
              <w:left w:val="nil"/>
              <w:bottom w:val="nil"/>
              <w:right w:val="nil"/>
            </w:tcBorders>
            <w:shd w:val="clear" w:color="auto" w:fill="auto"/>
            <w:vAlign w:val="center"/>
          </w:tcPr>
          <w:p w14:paraId="303B62C3">
            <w:pPr>
              <w:widowControl/>
              <w:jc w:val="center"/>
              <w:rPr>
                <w:rFonts w:ascii="黑体" w:hAnsi="黑体" w:eastAsia="黑体" w:cs="黑体"/>
                <w:kern w:val="0"/>
                <w:szCs w:val="21"/>
                <w:highlight w:val="none"/>
                <w:u w:val="none"/>
              </w:rPr>
            </w:pPr>
            <w:r>
              <w:rPr>
                <w:rFonts w:hint="eastAsia" w:ascii="黑体" w:hAnsi="黑体" w:eastAsia="黑体" w:cs="黑体"/>
                <w:kern w:val="0"/>
                <w:szCs w:val="21"/>
                <w:highlight w:val="none"/>
                <w:u w:val="none"/>
              </w:rPr>
              <w:t>近</w:t>
            </w:r>
            <w:r>
              <w:rPr>
                <w:rFonts w:hint="default" w:ascii="Times New Roman" w:hAnsi="Times New Roman" w:eastAsia="黑体" w:cs="Times New Roman"/>
                <w:kern w:val="0"/>
                <w:szCs w:val="21"/>
                <w:highlight w:val="none"/>
                <w:u w:val="none"/>
              </w:rPr>
              <w:t>5</w:t>
            </w:r>
            <w:r>
              <w:rPr>
                <w:rFonts w:hint="eastAsia" w:ascii="黑体" w:hAnsi="黑体" w:eastAsia="黑体" w:cs="黑体"/>
                <w:kern w:val="0"/>
                <w:szCs w:val="21"/>
                <w:highlight w:val="none"/>
                <w:u w:val="none"/>
              </w:rPr>
              <w:t>年基金投资项目情况表(样表)</w:t>
            </w:r>
          </w:p>
          <w:p w14:paraId="67B39A87">
            <w:pPr>
              <w:widowControl/>
              <w:jc w:val="center"/>
              <w:rPr>
                <w:rFonts w:ascii="宋体" w:hAnsi="宋体" w:eastAsia="宋体" w:cs="宋体"/>
                <w:kern w:val="0"/>
                <w:szCs w:val="21"/>
                <w:highlight w:val="none"/>
                <w:u w:val="none"/>
              </w:rPr>
            </w:pPr>
            <w:r>
              <w:rPr>
                <w:rFonts w:hint="eastAsia" w:ascii="黑体" w:hAnsi="黑体" w:eastAsia="黑体" w:cs="黑体"/>
                <w:kern w:val="0"/>
                <w:szCs w:val="21"/>
                <w:highlight w:val="none"/>
                <w:u w:val="none"/>
              </w:rPr>
              <w:t>（截止</w:t>
            </w:r>
            <w:r>
              <w:rPr>
                <w:rFonts w:hint="default" w:ascii="Times New Roman" w:hAnsi="Times New Roman" w:eastAsia="黑体" w:cs="Times New Roman"/>
                <w:kern w:val="0"/>
                <w:szCs w:val="21"/>
                <w:highlight w:val="none"/>
                <w:u w:val="none"/>
              </w:rPr>
              <w:t>2024</w:t>
            </w:r>
            <w:r>
              <w:rPr>
                <w:rFonts w:hint="eastAsia" w:ascii="黑体" w:hAnsi="黑体" w:eastAsia="黑体" w:cs="黑体"/>
                <w:kern w:val="0"/>
                <w:szCs w:val="21"/>
                <w:highlight w:val="none"/>
                <w:u w:val="none"/>
              </w:rPr>
              <w:t>年</w:t>
            </w:r>
            <w:r>
              <w:rPr>
                <w:rFonts w:hint="default" w:ascii="Times New Roman" w:hAnsi="Times New Roman" w:eastAsia="黑体" w:cs="Times New Roman"/>
                <w:kern w:val="0"/>
                <w:szCs w:val="21"/>
                <w:highlight w:val="none"/>
                <w:u w:val="none"/>
              </w:rPr>
              <w:t>6</w:t>
            </w:r>
            <w:r>
              <w:rPr>
                <w:rFonts w:hint="eastAsia" w:ascii="黑体" w:hAnsi="黑体" w:eastAsia="黑体" w:cs="黑体"/>
                <w:kern w:val="0"/>
                <w:szCs w:val="21"/>
                <w:highlight w:val="none"/>
                <w:u w:val="none"/>
              </w:rPr>
              <w:t>月</w:t>
            </w:r>
            <w:r>
              <w:rPr>
                <w:rFonts w:hint="default" w:ascii="Times New Roman" w:hAnsi="Times New Roman" w:eastAsia="黑体" w:cs="Times New Roman"/>
                <w:kern w:val="0"/>
                <w:szCs w:val="21"/>
                <w:highlight w:val="none"/>
                <w:u w:val="none"/>
              </w:rPr>
              <w:t>30</w:t>
            </w:r>
            <w:r>
              <w:rPr>
                <w:rFonts w:hint="eastAsia" w:ascii="黑体" w:hAnsi="黑体" w:eastAsia="黑体" w:cs="黑体"/>
                <w:kern w:val="0"/>
                <w:szCs w:val="21"/>
                <w:highlight w:val="none"/>
                <w:u w:val="none"/>
              </w:rPr>
              <w:t>日）</w:t>
            </w:r>
          </w:p>
        </w:tc>
      </w:tr>
      <w:tr w14:paraId="17B24609">
        <w:tblPrEx>
          <w:tblCellMar>
            <w:top w:w="0" w:type="dxa"/>
            <w:left w:w="108" w:type="dxa"/>
            <w:bottom w:w="0" w:type="dxa"/>
            <w:right w:w="108" w:type="dxa"/>
          </w:tblCellMar>
        </w:tblPrEx>
        <w:trPr>
          <w:gridAfter w:val="1"/>
          <w:wAfter w:w="35" w:type="dxa"/>
          <w:trHeight w:val="330" w:hRule="atLeast"/>
        </w:trPr>
        <w:tc>
          <w:tcPr>
            <w:tcW w:w="14649" w:type="dxa"/>
            <w:gridSpan w:val="24"/>
            <w:tcBorders>
              <w:top w:val="nil"/>
              <w:left w:val="nil"/>
              <w:bottom w:val="single" w:color="auto" w:sz="4" w:space="0"/>
            </w:tcBorders>
            <w:shd w:val="clear" w:color="auto" w:fill="auto"/>
            <w:noWrap/>
            <w:vAlign w:val="center"/>
          </w:tcPr>
          <w:p w14:paraId="2967124D">
            <w:pPr>
              <w:widowControl/>
              <w:jc w:val="right"/>
              <w:rPr>
                <w:rFonts w:ascii="宋体" w:hAnsi="宋体" w:eastAsia="宋体" w:cs="宋体"/>
                <w:kern w:val="0"/>
                <w:sz w:val="18"/>
                <w:szCs w:val="18"/>
                <w:highlight w:val="none"/>
                <w:u w:val="none"/>
              </w:rPr>
            </w:pPr>
            <w:r>
              <w:rPr>
                <w:rFonts w:hint="eastAsia" w:ascii="宋体" w:hAnsi="宋体" w:eastAsia="宋体" w:cs="宋体"/>
                <w:kern w:val="0"/>
                <w:sz w:val="18"/>
                <w:szCs w:val="18"/>
                <w:highlight w:val="none"/>
                <w:u w:val="none"/>
              </w:rPr>
              <w:t>单位：万元</w:t>
            </w:r>
          </w:p>
        </w:tc>
      </w:tr>
      <w:tr w14:paraId="78DFBC44">
        <w:tblPrEx>
          <w:tblCellMar>
            <w:top w:w="0" w:type="dxa"/>
            <w:left w:w="108" w:type="dxa"/>
            <w:bottom w:w="0" w:type="dxa"/>
            <w:right w:w="108" w:type="dxa"/>
          </w:tblCellMar>
        </w:tblPrEx>
        <w:trPr>
          <w:trHeight w:val="990" w:hRule="atLeast"/>
        </w:trPr>
        <w:tc>
          <w:tcPr>
            <w:tcW w:w="977" w:type="dxa"/>
            <w:tcBorders>
              <w:top w:val="nil"/>
              <w:left w:val="single" w:color="auto" w:sz="4" w:space="0"/>
              <w:bottom w:val="single" w:color="auto" w:sz="4" w:space="0"/>
              <w:right w:val="single" w:color="auto" w:sz="4" w:space="0"/>
            </w:tcBorders>
            <w:shd w:val="clear" w:color="auto" w:fill="auto"/>
            <w:vAlign w:val="center"/>
          </w:tcPr>
          <w:p w14:paraId="16C38FDC">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投资主体</w:t>
            </w:r>
          </w:p>
          <w:p w14:paraId="28FD624F">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（基金名称）</w:t>
            </w:r>
          </w:p>
        </w:tc>
        <w:tc>
          <w:tcPr>
            <w:tcW w:w="404" w:type="dxa"/>
            <w:tcBorders>
              <w:top w:val="nil"/>
              <w:left w:val="nil"/>
              <w:bottom w:val="single" w:color="auto" w:sz="4" w:space="0"/>
              <w:right w:val="single" w:color="auto" w:sz="4" w:space="0"/>
            </w:tcBorders>
            <w:shd w:val="clear" w:color="auto" w:fill="auto"/>
            <w:vAlign w:val="center"/>
          </w:tcPr>
          <w:p w14:paraId="63FEC18F">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序号</w:t>
            </w:r>
          </w:p>
        </w:tc>
        <w:tc>
          <w:tcPr>
            <w:tcW w:w="724" w:type="dxa"/>
            <w:tcBorders>
              <w:top w:val="nil"/>
              <w:left w:val="nil"/>
              <w:bottom w:val="single" w:color="auto" w:sz="4" w:space="0"/>
              <w:right w:val="single" w:color="auto" w:sz="4" w:space="0"/>
            </w:tcBorders>
            <w:shd w:val="clear" w:color="auto" w:fill="auto"/>
            <w:vAlign w:val="center"/>
          </w:tcPr>
          <w:p w14:paraId="593E3777">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被投企业名称</w:t>
            </w:r>
          </w:p>
        </w:tc>
        <w:tc>
          <w:tcPr>
            <w:tcW w:w="598" w:type="dxa"/>
            <w:tcBorders>
              <w:top w:val="nil"/>
              <w:left w:val="nil"/>
              <w:bottom w:val="single" w:color="auto" w:sz="4" w:space="0"/>
              <w:right w:val="single" w:color="auto" w:sz="4" w:space="0"/>
            </w:tcBorders>
            <w:shd w:val="clear" w:color="auto" w:fill="auto"/>
            <w:vAlign w:val="center"/>
          </w:tcPr>
          <w:p w14:paraId="19B3DC94">
            <w:pPr>
              <w:widowControl/>
              <w:jc w:val="left"/>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项目简称</w:t>
            </w:r>
          </w:p>
        </w:tc>
        <w:tc>
          <w:tcPr>
            <w:tcW w:w="599" w:type="dxa"/>
            <w:tcBorders>
              <w:top w:val="nil"/>
              <w:left w:val="nil"/>
              <w:bottom w:val="single" w:color="auto" w:sz="4" w:space="0"/>
              <w:right w:val="single" w:color="auto" w:sz="4" w:space="0"/>
            </w:tcBorders>
            <w:shd w:val="clear" w:color="auto" w:fill="auto"/>
            <w:vAlign w:val="center"/>
          </w:tcPr>
          <w:p w14:paraId="67E14687">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所属行业</w:t>
            </w:r>
          </w:p>
        </w:tc>
        <w:tc>
          <w:tcPr>
            <w:tcW w:w="599" w:type="dxa"/>
            <w:tcBorders>
              <w:top w:val="nil"/>
              <w:left w:val="nil"/>
              <w:bottom w:val="single" w:color="auto" w:sz="4" w:space="0"/>
              <w:right w:val="single" w:color="auto" w:sz="4" w:space="0"/>
            </w:tcBorders>
            <w:shd w:val="clear" w:color="auto" w:fill="auto"/>
            <w:vAlign w:val="center"/>
          </w:tcPr>
          <w:p w14:paraId="13E23CEE">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投资轮次</w:t>
            </w:r>
          </w:p>
        </w:tc>
        <w:tc>
          <w:tcPr>
            <w:tcW w:w="598" w:type="dxa"/>
            <w:tcBorders>
              <w:top w:val="nil"/>
              <w:left w:val="nil"/>
              <w:bottom w:val="single" w:color="auto" w:sz="4" w:space="0"/>
              <w:right w:val="single" w:color="auto" w:sz="4" w:space="0"/>
            </w:tcBorders>
            <w:shd w:val="clear" w:color="auto" w:fill="auto"/>
            <w:vAlign w:val="center"/>
          </w:tcPr>
          <w:p w14:paraId="4A476F2F">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领投方/其他重要投资人</w:t>
            </w:r>
          </w:p>
        </w:tc>
        <w:tc>
          <w:tcPr>
            <w:tcW w:w="599" w:type="dxa"/>
            <w:tcBorders>
              <w:top w:val="nil"/>
              <w:left w:val="nil"/>
              <w:bottom w:val="single" w:color="auto" w:sz="4" w:space="0"/>
              <w:right w:val="single" w:color="auto" w:sz="4" w:space="0"/>
            </w:tcBorders>
            <w:shd w:val="clear" w:color="auto" w:fill="auto"/>
            <w:vAlign w:val="center"/>
          </w:tcPr>
          <w:p w14:paraId="7CA373E3">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初始投后估值</w:t>
            </w:r>
          </w:p>
        </w:tc>
        <w:tc>
          <w:tcPr>
            <w:tcW w:w="599" w:type="dxa"/>
            <w:tcBorders>
              <w:top w:val="nil"/>
              <w:left w:val="nil"/>
              <w:bottom w:val="single" w:color="auto" w:sz="4" w:space="0"/>
              <w:right w:val="single" w:color="auto" w:sz="4" w:space="0"/>
            </w:tcBorders>
            <w:shd w:val="clear" w:color="auto" w:fill="auto"/>
            <w:vAlign w:val="center"/>
          </w:tcPr>
          <w:p w14:paraId="28034B46">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投资</w:t>
            </w:r>
          </w:p>
          <w:p w14:paraId="1423ED7F">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时间</w:t>
            </w:r>
          </w:p>
        </w:tc>
        <w:tc>
          <w:tcPr>
            <w:tcW w:w="598" w:type="dxa"/>
            <w:tcBorders>
              <w:top w:val="nil"/>
              <w:left w:val="nil"/>
              <w:bottom w:val="single" w:color="auto" w:sz="4" w:space="0"/>
              <w:right w:val="single" w:color="auto" w:sz="4" w:space="0"/>
            </w:tcBorders>
            <w:shd w:val="clear" w:color="auto" w:fill="auto"/>
            <w:vAlign w:val="center"/>
          </w:tcPr>
          <w:p w14:paraId="48B97D14">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投资金额</w:t>
            </w:r>
          </w:p>
        </w:tc>
        <w:tc>
          <w:tcPr>
            <w:tcW w:w="599" w:type="dxa"/>
            <w:tcBorders>
              <w:top w:val="nil"/>
              <w:left w:val="nil"/>
              <w:bottom w:val="single" w:color="auto" w:sz="4" w:space="0"/>
              <w:right w:val="single" w:color="auto" w:sz="4" w:space="0"/>
            </w:tcBorders>
            <w:shd w:val="clear" w:color="auto" w:fill="auto"/>
            <w:vAlign w:val="center"/>
          </w:tcPr>
          <w:p w14:paraId="0294181A">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初始</w:t>
            </w:r>
          </w:p>
          <w:p w14:paraId="4D7672F5">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持股比例</w:t>
            </w:r>
          </w:p>
        </w:tc>
        <w:tc>
          <w:tcPr>
            <w:tcW w:w="599" w:type="dxa"/>
            <w:tcBorders>
              <w:top w:val="nil"/>
              <w:left w:val="nil"/>
              <w:bottom w:val="single" w:color="auto" w:sz="4" w:space="0"/>
              <w:right w:val="single" w:color="auto" w:sz="4" w:space="0"/>
            </w:tcBorders>
            <w:shd w:val="clear" w:color="auto" w:fill="auto"/>
            <w:vAlign w:val="center"/>
          </w:tcPr>
          <w:p w14:paraId="492A9A44">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最新</w:t>
            </w:r>
          </w:p>
          <w:p w14:paraId="0DED6038">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持股比例</w:t>
            </w:r>
          </w:p>
        </w:tc>
        <w:tc>
          <w:tcPr>
            <w:tcW w:w="599" w:type="dxa"/>
            <w:tcBorders>
              <w:top w:val="nil"/>
              <w:left w:val="nil"/>
              <w:bottom w:val="single" w:color="auto" w:sz="4" w:space="0"/>
              <w:right w:val="single" w:color="auto" w:sz="4" w:space="0"/>
            </w:tcBorders>
            <w:shd w:val="clear" w:color="auto" w:fill="auto"/>
            <w:vAlign w:val="center"/>
          </w:tcPr>
          <w:p w14:paraId="76E2EF3F">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退出本金</w:t>
            </w:r>
          </w:p>
        </w:tc>
        <w:tc>
          <w:tcPr>
            <w:tcW w:w="599" w:type="dxa"/>
            <w:tcBorders>
              <w:top w:val="nil"/>
              <w:left w:val="nil"/>
              <w:bottom w:val="single" w:color="auto" w:sz="4" w:space="0"/>
              <w:right w:val="single" w:color="auto" w:sz="4" w:space="0"/>
            </w:tcBorders>
            <w:shd w:val="clear" w:color="auto" w:fill="auto"/>
            <w:vAlign w:val="center"/>
          </w:tcPr>
          <w:p w14:paraId="264E8006">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退出收益</w:t>
            </w:r>
          </w:p>
        </w:tc>
        <w:tc>
          <w:tcPr>
            <w:tcW w:w="599" w:type="dxa"/>
            <w:tcBorders>
              <w:top w:val="nil"/>
              <w:left w:val="nil"/>
              <w:bottom w:val="single" w:color="auto" w:sz="4" w:space="0"/>
              <w:right w:val="single" w:color="auto" w:sz="4" w:space="0"/>
            </w:tcBorders>
            <w:shd w:val="clear" w:color="auto" w:fill="auto"/>
            <w:vAlign w:val="center"/>
          </w:tcPr>
          <w:p w14:paraId="6C789EAB">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累计收到分红</w:t>
            </w:r>
          </w:p>
          <w:p w14:paraId="3FA73FEC">
            <w:pPr>
              <w:widowControl/>
              <w:jc w:val="center"/>
              <w:rPr>
                <w:rFonts w:ascii="楷体_GB2312" w:hAnsi="楷体_GB2312" w:eastAsia="楷体_GB2312" w:cs="楷体_GB2312"/>
                <w:b/>
                <w:bCs/>
                <w:kern w:val="0"/>
                <w:sz w:val="18"/>
                <w:szCs w:val="18"/>
                <w:highlight w:val="none"/>
                <w:u w:val="none"/>
              </w:rPr>
            </w:pPr>
          </w:p>
        </w:tc>
        <w:tc>
          <w:tcPr>
            <w:tcW w:w="598" w:type="dxa"/>
            <w:tcBorders>
              <w:top w:val="nil"/>
              <w:left w:val="nil"/>
              <w:bottom w:val="single" w:color="auto" w:sz="4" w:space="0"/>
              <w:right w:val="single" w:color="auto" w:sz="4" w:space="0"/>
            </w:tcBorders>
            <w:shd w:val="clear" w:color="auto" w:fill="auto"/>
            <w:vAlign w:val="center"/>
          </w:tcPr>
          <w:p w14:paraId="58A22E17">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剩余</w:t>
            </w:r>
          </w:p>
          <w:p w14:paraId="6582D306">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投资本金</w:t>
            </w:r>
          </w:p>
        </w:tc>
        <w:tc>
          <w:tcPr>
            <w:tcW w:w="599" w:type="dxa"/>
            <w:tcBorders>
              <w:top w:val="nil"/>
              <w:left w:val="nil"/>
              <w:bottom w:val="single" w:color="auto" w:sz="4" w:space="0"/>
              <w:right w:val="single" w:color="auto" w:sz="4" w:space="0"/>
            </w:tcBorders>
            <w:shd w:val="clear" w:color="auto" w:fill="auto"/>
            <w:vAlign w:val="center"/>
          </w:tcPr>
          <w:p w14:paraId="53E4FE46">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持有权益</w:t>
            </w:r>
          </w:p>
          <w:p w14:paraId="7EE101AC">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最新估值</w:t>
            </w:r>
          </w:p>
        </w:tc>
        <w:tc>
          <w:tcPr>
            <w:tcW w:w="599" w:type="dxa"/>
            <w:tcBorders>
              <w:top w:val="nil"/>
              <w:left w:val="nil"/>
              <w:bottom w:val="single" w:color="auto" w:sz="4" w:space="0"/>
              <w:right w:val="single" w:color="auto" w:sz="4" w:space="0"/>
            </w:tcBorders>
            <w:shd w:val="clear" w:color="auto" w:fill="auto"/>
            <w:vAlign w:val="center"/>
          </w:tcPr>
          <w:p w14:paraId="754164F5">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预估</w:t>
            </w:r>
          </w:p>
          <w:p w14:paraId="737F178A">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剩余投资收益</w:t>
            </w:r>
          </w:p>
        </w:tc>
        <w:tc>
          <w:tcPr>
            <w:tcW w:w="598" w:type="dxa"/>
            <w:tcBorders>
              <w:top w:val="nil"/>
              <w:left w:val="nil"/>
              <w:bottom w:val="single" w:color="auto" w:sz="4" w:space="0"/>
              <w:right w:val="single" w:color="auto" w:sz="4" w:space="0"/>
            </w:tcBorders>
            <w:shd w:val="clear" w:color="auto" w:fill="auto"/>
            <w:vAlign w:val="center"/>
          </w:tcPr>
          <w:p w14:paraId="490EF599">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项目MOC</w:t>
            </w:r>
          </w:p>
        </w:tc>
        <w:tc>
          <w:tcPr>
            <w:tcW w:w="599" w:type="dxa"/>
            <w:tcBorders>
              <w:top w:val="nil"/>
              <w:left w:val="nil"/>
              <w:bottom w:val="single" w:color="auto" w:sz="4" w:space="0"/>
              <w:right w:val="single" w:color="auto" w:sz="4" w:space="0"/>
            </w:tcBorders>
            <w:shd w:val="clear" w:color="auto" w:fill="auto"/>
            <w:vAlign w:val="center"/>
          </w:tcPr>
          <w:p w14:paraId="17B114AA">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项目DPI</w:t>
            </w:r>
          </w:p>
        </w:tc>
        <w:tc>
          <w:tcPr>
            <w:tcW w:w="599" w:type="dxa"/>
            <w:tcBorders>
              <w:top w:val="nil"/>
              <w:left w:val="nil"/>
              <w:bottom w:val="single" w:color="auto" w:sz="4" w:space="0"/>
              <w:right w:val="single" w:color="auto" w:sz="4" w:space="0"/>
            </w:tcBorders>
            <w:shd w:val="clear" w:color="auto" w:fill="auto"/>
            <w:vAlign w:val="center"/>
          </w:tcPr>
          <w:p w14:paraId="7E7592B8">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退出时间</w:t>
            </w:r>
          </w:p>
        </w:tc>
        <w:tc>
          <w:tcPr>
            <w:tcW w:w="598" w:type="dxa"/>
            <w:tcBorders>
              <w:top w:val="nil"/>
              <w:left w:val="nil"/>
              <w:bottom w:val="single" w:color="auto" w:sz="4" w:space="0"/>
              <w:right w:val="single" w:color="auto" w:sz="4" w:space="0"/>
            </w:tcBorders>
            <w:shd w:val="clear" w:color="auto" w:fill="auto"/>
            <w:vAlign w:val="center"/>
          </w:tcPr>
          <w:p w14:paraId="2A90D621">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退出方式</w:t>
            </w:r>
          </w:p>
        </w:tc>
        <w:tc>
          <w:tcPr>
            <w:tcW w:w="602" w:type="dxa"/>
            <w:tcBorders>
              <w:top w:val="nil"/>
              <w:left w:val="nil"/>
              <w:bottom w:val="single" w:color="auto" w:sz="4" w:space="0"/>
              <w:right w:val="single" w:color="auto" w:sz="4" w:space="0"/>
            </w:tcBorders>
            <w:shd w:val="clear" w:color="auto" w:fill="auto"/>
            <w:vAlign w:val="center"/>
          </w:tcPr>
          <w:p w14:paraId="62929B99">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退出状态</w:t>
            </w:r>
          </w:p>
        </w:tc>
        <w:tc>
          <w:tcPr>
            <w:tcW w:w="602" w:type="dxa"/>
            <w:gridSpan w:val="2"/>
            <w:tcBorders>
              <w:top w:val="nil"/>
              <w:left w:val="nil"/>
              <w:bottom w:val="single" w:color="auto" w:sz="4" w:space="0"/>
              <w:right w:val="single" w:color="auto" w:sz="4" w:space="0"/>
            </w:tcBorders>
            <w:shd w:val="clear" w:color="auto" w:fill="auto"/>
            <w:vAlign w:val="center"/>
          </w:tcPr>
          <w:p w14:paraId="6176D848">
            <w:pPr>
              <w:widowControl/>
              <w:jc w:val="center"/>
              <w:rPr>
                <w:rFonts w:ascii="楷体_GB2312" w:hAnsi="楷体_GB2312" w:eastAsia="楷体_GB2312" w:cs="楷体_GB2312"/>
                <w:b/>
                <w:bCs/>
                <w:kern w:val="0"/>
                <w:sz w:val="18"/>
                <w:szCs w:val="18"/>
                <w:highlight w:val="none"/>
                <w:u w:val="none"/>
              </w:rPr>
            </w:pPr>
            <w:r>
              <w:rPr>
                <w:rFonts w:hint="eastAsia" w:ascii="楷体_GB2312" w:hAnsi="楷体_GB2312" w:eastAsia="楷体_GB2312" w:cs="楷体_GB2312"/>
                <w:b/>
                <w:bCs/>
                <w:kern w:val="0"/>
                <w:sz w:val="18"/>
                <w:szCs w:val="18"/>
                <w:highlight w:val="none"/>
                <w:u w:val="none"/>
              </w:rPr>
              <w:t>团队相关人员及所担任职务</w:t>
            </w:r>
          </w:p>
        </w:tc>
      </w:tr>
      <w:tr w14:paraId="3666CC39">
        <w:tblPrEx>
          <w:tblCellMar>
            <w:top w:w="0" w:type="dxa"/>
            <w:left w:w="108" w:type="dxa"/>
            <w:bottom w:w="0" w:type="dxa"/>
            <w:right w:w="108" w:type="dxa"/>
          </w:tblCellMar>
        </w:tblPrEx>
        <w:trPr>
          <w:trHeight w:val="660" w:hRule="atLeast"/>
        </w:trPr>
        <w:tc>
          <w:tcPr>
            <w:tcW w:w="977" w:type="dxa"/>
            <w:vMerge w:val="restart"/>
            <w:tcBorders>
              <w:top w:val="nil"/>
              <w:left w:val="single" w:color="auto" w:sz="4" w:space="0"/>
              <w:bottom w:val="single" w:color="auto" w:sz="4" w:space="0"/>
              <w:right w:val="single" w:color="auto" w:sz="4" w:space="0"/>
            </w:tcBorders>
            <w:shd w:val="clear" w:color="auto" w:fill="auto"/>
            <w:vAlign w:val="center"/>
          </w:tcPr>
          <w:p w14:paraId="53061105">
            <w:pPr>
              <w:widowControl/>
              <w:jc w:val="center"/>
              <w:rPr>
                <w:rFonts w:ascii="宋体" w:hAnsi="宋体" w:eastAsia="宋体" w:cs="宋体"/>
                <w:kern w:val="0"/>
                <w:sz w:val="18"/>
                <w:szCs w:val="18"/>
                <w:highlight w:val="none"/>
                <w:u w:val="none"/>
              </w:rPr>
            </w:pPr>
            <w:r>
              <w:rPr>
                <w:rFonts w:hint="eastAsia" w:ascii="宋体" w:hAnsi="宋体" w:eastAsia="宋体" w:cs="宋体"/>
                <w:kern w:val="0"/>
                <w:sz w:val="18"/>
                <w:szCs w:val="18"/>
                <w:highlight w:val="none"/>
                <w:u w:val="none"/>
              </w:rPr>
              <w:t>XX(有限合伙）</w:t>
            </w:r>
          </w:p>
        </w:tc>
        <w:tc>
          <w:tcPr>
            <w:tcW w:w="404" w:type="dxa"/>
            <w:tcBorders>
              <w:top w:val="nil"/>
              <w:left w:val="nil"/>
              <w:bottom w:val="single" w:color="auto" w:sz="4" w:space="0"/>
              <w:right w:val="single" w:color="auto" w:sz="4" w:space="0"/>
            </w:tcBorders>
            <w:shd w:val="clear" w:color="auto" w:fill="auto"/>
            <w:noWrap/>
            <w:vAlign w:val="center"/>
          </w:tcPr>
          <w:p w14:paraId="60EF193B">
            <w:pPr>
              <w:widowControl/>
              <w:jc w:val="center"/>
              <w:rPr>
                <w:rFonts w:ascii="宋体" w:hAnsi="宋体" w:eastAsia="宋体" w:cs="宋体"/>
                <w:kern w:val="0"/>
                <w:sz w:val="18"/>
                <w:szCs w:val="18"/>
                <w:highlight w:val="none"/>
                <w:u w:val="none"/>
              </w:rPr>
            </w:pPr>
            <w:r>
              <w:rPr>
                <w:rFonts w:hint="default" w:ascii="Times New Roman" w:hAnsi="Times New Roman" w:eastAsia="宋体" w:cs="Times New Roman"/>
                <w:kern w:val="0"/>
                <w:sz w:val="18"/>
                <w:szCs w:val="18"/>
                <w:highlight w:val="none"/>
                <w:u w:val="none"/>
              </w:rPr>
              <w:t>1</w:t>
            </w:r>
          </w:p>
        </w:tc>
        <w:tc>
          <w:tcPr>
            <w:tcW w:w="724" w:type="dxa"/>
            <w:tcBorders>
              <w:top w:val="nil"/>
              <w:left w:val="nil"/>
              <w:bottom w:val="single" w:color="auto" w:sz="4" w:space="0"/>
              <w:right w:val="single" w:color="auto" w:sz="4" w:space="0"/>
            </w:tcBorders>
            <w:shd w:val="clear" w:color="auto" w:fill="auto"/>
            <w:noWrap/>
            <w:vAlign w:val="center"/>
          </w:tcPr>
          <w:p w14:paraId="23415DA7">
            <w:pPr>
              <w:widowControl/>
              <w:jc w:val="left"/>
              <w:rPr>
                <w:rFonts w:ascii="宋体" w:hAnsi="宋体" w:eastAsia="宋体" w:cs="宋体"/>
                <w:kern w:val="0"/>
                <w:sz w:val="18"/>
                <w:szCs w:val="18"/>
                <w:highlight w:val="none"/>
                <w:u w:val="none"/>
              </w:rPr>
            </w:pPr>
            <w:r>
              <w:rPr>
                <w:rFonts w:hint="eastAsia" w:ascii="宋体" w:hAnsi="宋体" w:eastAsia="宋体" w:cs="宋体"/>
                <w:kern w:val="0"/>
                <w:sz w:val="18"/>
                <w:szCs w:val="18"/>
                <w:highlight w:val="none"/>
                <w:u w:val="none"/>
              </w:rPr>
              <w:t>示例：XX公司</w:t>
            </w:r>
          </w:p>
        </w:tc>
        <w:tc>
          <w:tcPr>
            <w:tcW w:w="598" w:type="dxa"/>
            <w:tcBorders>
              <w:top w:val="nil"/>
              <w:left w:val="nil"/>
              <w:bottom w:val="single" w:color="auto" w:sz="4" w:space="0"/>
              <w:right w:val="single" w:color="auto" w:sz="4" w:space="0"/>
            </w:tcBorders>
            <w:shd w:val="clear" w:color="auto" w:fill="auto"/>
            <w:noWrap/>
            <w:vAlign w:val="center"/>
          </w:tcPr>
          <w:p w14:paraId="28C619B8">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463C94D9">
            <w:pPr>
              <w:widowControl/>
              <w:jc w:val="center"/>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44BCE0D1">
            <w:pPr>
              <w:widowControl/>
              <w:jc w:val="center"/>
              <w:rPr>
                <w:rFonts w:ascii="宋体" w:hAnsi="宋体" w:eastAsia="宋体" w:cs="宋体"/>
                <w:kern w:val="0"/>
                <w:sz w:val="18"/>
                <w:szCs w:val="18"/>
                <w:highlight w:val="none"/>
                <w:u w:val="none"/>
              </w:rPr>
            </w:pPr>
          </w:p>
        </w:tc>
        <w:tc>
          <w:tcPr>
            <w:tcW w:w="598" w:type="dxa"/>
            <w:tcBorders>
              <w:top w:val="nil"/>
              <w:left w:val="nil"/>
              <w:bottom w:val="single" w:color="auto" w:sz="4" w:space="0"/>
              <w:right w:val="single" w:color="auto" w:sz="4" w:space="0"/>
            </w:tcBorders>
            <w:shd w:val="clear" w:color="auto" w:fill="auto"/>
            <w:noWrap/>
            <w:vAlign w:val="center"/>
          </w:tcPr>
          <w:p w14:paraId="05BDE8BD">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61FD19F0">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3ED43096">
            <w:pPr>
              <w:widowControl/>
              <w:jc w:val="right"/>
              <w:rPr>
                <w:rFonts w:ascii="宋体" w:hAnsi="宋体" w:eastAsia="宋体" w:cs="宋体"/>
                <w:kern w:val="0"/>
                <w:sz w:val="18"/>
                <w:szCs w:val="18"/>
                <w:highlight w:val="none"/>
                <w:u w:val="none"/>
              </w:rPr>
            </w:pPr>
          </w:p>
        </w:tc>
        <w:tc>
          <w:tcPr>
            <w:tcW w:w="598" w:type="dxa"/>
            <w:tcBorders>
              <w:top w:val="nil"/>
              <w:left w:val="nil"/>
              <w:bottom w:val="single" w:color="auto" w:sz="4" w:space="0"/>
              <w:right w:val="single" w:color="auto" w:sz="4" w:space="0"/>
            </w:tcBorders>
            <w:shd w:val="clear" w:color="auto" w:fill="auto"/>
            <w:noWrap/>
            <w:vAlign w:val="center"/>
          </w:tcPr>
          <w:p w14:paraId="6A1F9789">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76EDCB15">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72BF1025">
            <w:pPr>
              <w:widowControl/>
              <w:jc w:val="center"/>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413EEE40">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17066B4B">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02763A08">
            <w:pPr>
              <w:widowControl/>
              <w:jc w:val="left"/>
              <w:rPr>
                <w:rFonts w:ascii="宋体" w:hAnsi="宋体" w:eastAsia="宋体" w:cs="宋体"/>
                <w:kern w:val="0"/>
                <w:sz w:val="18"/>
                <w:szCs w:val="18"/>
                <w:highlight w:val="none"/>
                <w:u w:val="none"/>
              </w:rPr>
            </w:pPr>
          </w:p>
        </w:tc>
        <w:tc>
          <w:tcPr>
            <w:tcW w:w="598" w:type="dxa"/>
            <w:tcBorders>
              <w:top w:val="nil"/>
              <w:left w:val="nil"/>
              <w:bottom w:val="single" w:color="auto" w:sz="4" w:space="0"/>
              <w:right w:val="single" w:color="auto" w:sz="4" w:space="0"/>
            </w:tcBorders>
            <w:shd w:val="clear" w:color="auto" w:fill="auto"/>
            <w:noWrap/>
            <w:vAlign w:val="center"/>
          </w:tcPr>
          <w:p w14:paraId="3851C222">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46AF444F">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35D28B81">
            <w:pPr>
              <w:widowControl/>
              <w:jc w:val="left"/>
              <w:rPr>
                <w:rFonts w:ascii="宋体" w:hAnsi="宋体" w:eastAsia="宋体" w:cs="宋体"/>
                <w:kern w:val="0"/>
                <w:sz w:val="18"/>
                <w:szCs w:val="18"/>
                <w:highlight w:val="none"/>
                <w:u w:val="none"/>
              </w:rPr>
            </w:pPr>
          </w:p>
        </w:tc>
        <w:tc>
          <w:tcPr>
            <w:tcW w:w="598" w:type="dxa"/>
            <w:tcBorders>
              <w:top w:val="nil"/>
              <w:left w:val="nil"/>
              <w:bottom w:val="single" w:color="auto" w:sz="4" w:space="0"/>
              <w:right w:val="single" w:color="auto" w:sz="4" w:space="0"/>
            </w:tcBorders>
            <w:shd w:val="clear" w:color="auto" w:fill="auto"/>
            <w:noWrap/>
            <w:vAlign w:val="center"/>
          </w:tcPr>
          <w:p w14:paraId="4D06B628">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5ECF9F01">
            <w:pPr>
              <w:widowControl/>
              <w:jc w:val="center"/>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16819DE0">
            <w:pPr>
              <w:widowControl/>
              <w:jc w:val="left"/>
              <w:rPr>
                <w:rFonts w:ascii="宋体" w:hAnsi="宋体" w:eastAsia="宋体" w:cs="宋体"/>
                <w:kern w:val="0"/>
                <w:sz w:val="18"/>
                <w:szCs w:val="18"/>
                <w:highlight w:val="none"/>
                <w:u w:val="none"/>
              </w:rPr>
            </w:pPr>
          </w:p>
        </w:tc>
        <w:tc>
          <w:tcPr>
            <w:tcW w:w="598" w:type="dxa"/>
            <w:tcBorders>
              <w:top w:val="nil"/>
              <w:left w:val="nil"/>
              <w:bottom w:val="single" w:color="auto" w:sz="4" w:space="0"/>
              <w:right w:val="single" w:color="auto" w:sz="4" w:space="0"/>
            </w:tcBorders>
            <w:shd w:val="clear" w:color="auto" w:fill="auto"/>
            <w:noWrap/>
            <w:vAlign w:val="center"/>
          </w:tcPr>
          <w:p w14:paraId="19236116">
            <w:pPr>
              <w:widowControl/>
              <w:jc w:val="center"/>
              <w:rPr>
                <w:rFonts w:ascii="宋体" w:hAnsi="宋体" w:eastAsia="宋体" w:cs="宋体"/>
                <w:kern w:val="0"/>
                <w:sz w:val="18"/>
                <w:szCs w:val="18"/>
                <w:highlight w:val="none"/>
                <w:u w:val="none"/>
              </w:rPr>
            </w:pPr>
            <w:r>
              <w:rPr>
                <w:rFonts w:hint="eastAsia" w:ascii="宋体" w:hAnsi="宋体" w:eastAsia="宋体" w:cs="宋体"/>
                <w:kern w:val="0"/>
                <w:sz w:val="18"/>
                <w:szCs w:val="18"/>
                <w:highlight w:val="none"/>
                <w:u w:val="none"/>
              </w:rPr>
              <w:t>并购/股权转让</w:t>
            </w:r>
          </w:p>
        </w:tc>
        <w:tc>
          <w:tcPr>
            <w:tcW w:w="602" w:type="dxa"/>
            <w:tcBorders>
              <w:top w:val="nil"/>
              <w:left w:val="nil"/>
              <w:bottom w:val="single" w:color="auto" w:sz="4" w:space="0"/>
              <w:right w:val="single" w:color="auto" w:sz="4" w:space="0"/>
            </w:tcBorders>
            <w:shd w:val="clear" w:color="auto" w:fill="auto"/>
            <w:noWrap/>
            <w:vAlign w:val="center"/>
          </w:tcPr>
          <w:p w14:paraId="059ED4A1">
            <w:pPr>
              <w:widowControl/>
              <w:jc w:val="center"/>
              <w:rPr>
                <w:rFonts w:ascii="宋体" w:hAnsi="宋体" w:eastAsia="宋体" w:cs="宋体"/>
                <w:kern w:val="0"/>
                <w:sz w:val="18"/>
                <w:szCs w:val="18"/>
                <w:highlight w:val="none"/>
                <w:u w:val="none"/>
              </w:rPr>
            </w:pPr>
            <w:r>
              <w:rPr>
                <w:rFonts w:hint="eastAsia" w:ascii="宋体" w:hAnsi="宋体" w:eastAsia="宋体" w:cs="宋体"/>
                <w:kern w:val="0"/>
                <w:sz w:val="18"/>
                <w:szCs w:val="18"/>
                <w:highlight w:val="none"/>
                <w:u w:val="none"/>
              </w:rPr>
              <w:t>部分/全部退出</w:t>
            </w:r>
          </w:p>
        </w:tc>
        <w:tc>
          <w:tcPr>
            <w:tcW w:w="602" w:type="dxa"/>
            <w:gridSpan w:val="2"/>
            <w:tcBorders>
              <w:top w:val="nil"/>
              <w:left w:val="nil"/>
              <w:bottom w:val="single" w:color="auto" w:sz="4" w:space="0"/>
              <w:right w:val="single" w:color="auto" w:sz="4" w:space="0"/>
            </w:tcBorders>
            <w:shd w:val="clear" w:color="auto" w:fill="auto"/>
            <w:vAlign w:val="center"/>
          </w:tcPr>
          <w:p w14:paraId="04F44266">
            <w:pPr>
              <w:widowControl/>
              <w:jc w:val="center"/>
              <w:rPr>
                <w:rFonts w:ascii="宋体" w:hAnsi="宋体" w:eastAsia="宋体" w:cs="宋体"/>
                <w:kern w:val="0"/>
                <w:sz w:val="18"/>
                <w:szCs w:val="18"/>
                <w:highlight w:val="none"/>
                <w:u w:val="none"/>
              </w:rPr>
            </w:pPr>
            <w:r>
              <w:rPr>
                <w:rFonts w:hint="eastAsia" w:ascii="宋体" w:hAnsi="宋体" w:eastAsia="宋体" w:cs="宋体"/>
                <w:kern w:val="0"/>
                <w:sz w:val="18"/>
                <w:szCs w:val="18"/>
                <w:highlight w:val="none"/>
                <w:u w:val="none"/>
              </w:rPr>
              <w:t>张三(项目负责人)</w:t>
            </w:r>
          </w:p>
        </w:tc>
      </w:tr>
      <w:tr w14:paraId="0190B0B7">
        <w:tblPrEx>
          <w:tblCellMar>
            <w:top w:w="0" w:type="dxa"/>
            <w:left w:w="108" w:type="dxa"/>
            <w:bottom w:w="0" w:type="dxa"/>
            <w:right w:w="108" w:type="dxa"/>
          </w:tblCellMar>
        </w:tblPrEx>
        <w:trPr>
          <w:trHeight w:val="330" w:hRule="atLeast"/>
        </w:trPr>
        <w:tc>
          <w:tcPr>
            <w:tcW w:w="977" w:type="dxa"/>
            <w:vMerge w:val="continue"/>
            <w:tcBorders>
              <w:top w:val="nil"/>
              <w:left w:val="single" w:color="auto" w:sz="4" w:space="0"/>
              <w:bottom w:val="single" w:color="auto" w:sz="4" w:space="0"/>
              <w:right w:val="single" w:color="auto" w:sz="4" w:space="0"/>
            </w:tcBorders>
            <w:vAlign w:val="center"/>
          </w:tcPr>
          <w:p w14:paraId="0F907AF1">
            <w:pPr>
              <w:widowControl/>
              <w:jc w:val="left"/>
              <w:rPr>
                <w:rFonts w:ascii="宋体" w:hAnsi="宋体" w:eastAsia="宋体" w:cs="宋体"/>
                <w:kern w:val="0"/>
                <w:sz w:val="18"/>
                <w:szCs w:val="18"/>
                <w:highlight w:val="none"/>
                <w:u w:val="none"/>
              </w:rPr>
            </w:pPr>
          </w:p>
        </w:tc>
        <w:tc>
          <w:tcPr>
            <w:tcW w:w="404" w:type="dxa"/>
            <w:tcBorders>
              <w:top w:val="nil"/>
              <w:left w:val="nil"/>
              <w:bottom w:val="single" w:color="auto" w:sz="4" w:space="0"/>
              <w:right w:val="single" w:color="auto" w:sz="4" w:space="0"/>
            </w:tcBorders>
            <w:shd w:val="clear" w:color="auto" w:fill="auto"/>
            <w:noWrap/>
            <w:vAlign w:val="center"/>
          </w:tcPr>
          <w:p w14:paraId="6CA24A4A">
            <w:pPr>
              <w:widowControl/>
              <w:jc w:val="center"/>
              <w:rPr>
                <w:rFonts w:ascii="宋体" w:hAnsi="宋体" w:eastAsia="宋体" w:cs="宋体"/>
                <w:kern w:val="0"/>
                <w:sz w:val="18"/>
                <w:szCs w:val="18"/>
                <w:highlight w:val="none"/>
                <w:u w:val="none"/>
              </w:rPr>
            </w:pPr>
            <w:r>
              <w:rPr>
                <w:rFonts w:hint="default" w:ascii="Times New Roman" w:hAnsi="Times New Roman" w:eastAsia="宋体" w:cs="Times New Roman"/>
                <w:kern w:val="0"/>
                <w:sz w:val="18"/>
                <w:szCs w:val="18"/>
                <w:highlight w:val="none"/>
                <w:u w:val="none"/>
              </w:rPr>
              <w:t>2</w:t>
            </w:r>
          </w:p>
        </w:tc>
        <w:tc>
          <w:tcPr>
            <w:tcW w:w="724" w:type="dxa"/>
            <w:tcBorders>
              <w:top w:val="nil"/>
              <w:left w:val="nil"/>
              <w:bottom w:val="single" w:color="auto" w:sz="4" w:space="0"/>
              <w:right w:val="single" w:color="auto" w:sz="4" w:space="0"/>
            </w:tcBorders>
            <w:shd w:val="clear" w:color="auto" w:fill="auto"/>
            <w:noWrap/>
            <w:vAlign w:val="center"/>
          </w:tcPr>
          <w:p w14:paraId="49CB7F4A">
            <w:pPr>
              <w:widowControl/>
              <w:jc w:val="left"/>
              <w:rPr>
                <w:rFonts w:ascii="宋体" w:hAnsi="宋体" w:eastAsia="宋体" w:cs="宋体"/>
                <w:kern w:val="0"/>
                <w:sz w:val="18"/>
                <w:szCs w:val="18"/>
                <w:highlight w:val="none"/>
                <w:u w:val="none"/>
              </w:rPr>
            </w:pPr>
          </w:p>
        </w:tc>
        <w:tc>
          <w:tcPr>
            <w:tcW w:w="598" w:type="dxa"/>
            <w:tcBorders>
              <w:top w:val="nil"/>
              <w:left w:val="nil"/>
              <w:bottom w:val="single" w:color="auto" w:sz="4" w:space="0"/>
              <w:right w:val="single" w:color="auto" w:sz="4" w:space="0"/>
            </w:tcBorders>
            <w:shd w:val="clear" w:color="auto" w:fill="auto"/>
            <w:noWrap/>
            <w:vAlign w:val="center"/>
          </w:tcPr>
          <w:p w14:paraId="54A6D0C1">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57A1E638">
            <w:pPr>
              <w:widowControl/>
              <w:jc w:val="center"/>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0568038F">
            <w:pPr>
              <w:widowControl/>
              <w:jc w:val="center"/>
              <w:rPr>
                <w:rFonts w:ascii="宋体" w:hAnsi="宋体" w:eastAsia="宋体" w:cs="宋体"/>
                <w:kern w:val="0"/>
                <w:sz w:val="18"/>
                <w:szCs w:val="18"/>
                <w:highlight w:val="none"/>
                <w:u w:val="none"/>
              </w:rPr>
            </w:pPr>
          </w:p>
        </w:tc>
        <w:tc>
          <w:tcPr>
            <w:tcW w:w="598" w:type="dxa"/>
            <w:tcBorders>
              <w:top w:val="nil"/>
              <w:left w:val="nil"/>
              <w:bottom w:val="single" w:color="auto" w:sz="4" w:space="0"/>
              <w:right w:val="single" w:color="auto" w:sz="4" w:space="0"/>
            </w:tcBorders>
            <w:shd w:val="clear" w:color="auto" w:fill="auto"/>
            <w:noWrap/>
            <w:vAlign w:val="center"/>
          </w:tcPr>
          <w:p w14:paraId="0EF19786">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2B360787">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1CB25DD7">
            <w:pPr>
              <w:widowControl/>
              <w:jc w:val="left"/>
              <w:rPr>
                <w:rFonts w:ascii="宋体" w:hAnsi="宋体" w:eastAsia="宋体" w:cs="宋体"/>
                <w:kern w:val="0"/>
                <w:sz w:val="18"/>
                <w:szCs w:val="18"/>
                <w:highlight w:val="none"/>
                <w:u w:val="none"/>
              </w:rPr>
            </w:pPr>
          </w:p>
        </w:tc>
        <w:tc>
          <w:tcPr>
            <w:tcW w:w="598" w:type="dxa"/>
            <w:tcBorders>
              <w:top w:val="nil"/>
              <w:left w:val="nil"/>
              <w:bottom w:val="single" w:color="auto" w:sz="4" w:space="0"/>
              <w:right w:val="single" w:color="auto" w:sz="4" w:space="0"/>
            </w:tcBorders>
            <w:shd w:val="clear" w:color="auto" w:fill="auto"/>
            <w:noWrap/>
            <w:vAlign w:val="center"/>
          </w:tcPr>
          <w:p w14:paraId="2D069B8D">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27D8BA14">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4A29B2BD">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6421F545">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5A454AAC">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0678EEC2">
            <w:pPr>
              <w:widowControl/>
              <w:jc w:val="left"/>
              <w:rPr>
                <w:rFonts w:ascii="宋体" w:hAnsi="宋体" w:eastAsia="宋体" w:cs="宋体"/>
                <w:kern w:val="0"/>
                <w:sz w:val="18"/>
                <w:szCs w:val="18"/>
                <w:highlight w:val="none"/>
                <w:u w:val="none"/>
              </w:rPr>
            </w:pPr>
          </w:p>
        </w:tc>
        <w:tc>
          <w:tcPr>
            <w:tcW w:w="598" w:type="dxa"/>
            <w:tcBorders>
              <w:top w:val="nil"/>
              <w:left w:val="nil"/>
              <w:bottom w:val="single" w:color="auto" w:sz="4" w:space="0"/>
              <w:right w:val="single" w:color="auto" w:sz="4" w:space="0"/>
            </w:tcBorders>
            <w:shd w:val="clear" w:color="auto" w:fill="auto"/>
            <w:noWrap/>
            <w:vAlign w:val="center"/>
          </w:tcPr>
          <w:p w14:paraId="66595E6D">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4DE9570B">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349E0449">
            <w:pPr>
              <w:widowControl/>
              <w:jc w:val="left"/>
              <w:rPr>
                <w:rFonts w:ascii="宋体" w:hAnsi="宋体" w:eastAsia="宋体" w:cs="宋体"/>
                <w:kern w:val="0"/>
                <w:sz w:val="18"/>
                <w:szCs w:val="18"/>
                <w:highlight w:val="none"/>
                <w:u w:val="none"/>
              </w:rPr>
            </w:pPr>
          </w:p>
        </w:tc>
        <w:tc>
          <w:tcPr>
            <w:tcW w:w="598" w:type="dxa"/>
            <w:tcBorders>
              <w:top w:val="nil"/>
              <w:left w:val="nil"/>
              <w:bottom w:val="single" w:color="auto" w:sz="4" w:space="0"/>
              <w:right w:val="single" w:color="auto" w:sz="4" w:space="0"/>
            </w:tcBorders>
            <w:shd w:val="clear" w:color="auto" w:fill="auto"/>
            <w:noWrap/>
            <w:vAlign w:val="center"/>
          </w:tcPr>
          <w:p w14:paraId="1F610FC2">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6CA5C580">
            <w:pPr>
              <w:widowControl/>
              <w:jc w:val="center"/>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6FF08BD6">
            <w:pPr>
              <w:widowControl/>
              <w:jc w:val="left"/>
              <w:rPr>
                <w:rFonts w:ascii="宋体" w:hAnsi="宋体" w:eastAsia="宋体" w:cs="宋体"/>
                <w:kern w:val="0"/>
                <w:sz w:val="18"/>
                <w:szCs w:val="18"/>
                <w:highlight w:val="none"/>
                <w:u w:val="none"/>
              </w:rPr>
            </w:pPr>
          </w:p>
        </w:tc>
        <w:tc>
          <w:tcPr>
            <w:tcW w:w="598" w:type="dxa"/>
            <w:tcBorders>
              <w:top w:val="nil"/>
              <w:left w:val="nil"/>
              <w:bottom w:val="single" w:color="auto" w:sz="4" w:space="0"/>
              <w:right w:val="single" w:color="auto" w:sz="4" w:space="0"/>
            </w:tcBorders>
            <w:shd w:val="clear" w:color="auto" w:fill="auto"/>
            <w:noWrap/>
            <w:vAlign w:val="center"/>
          </w:tcPr>
          <w:p w14:paraId="70AC126E">
            <w:pPr>
              <w:widowControl/>
              <w:jc w:val="center"/>
              <w:rPr>
                <w:rFonts w:ascii="宋体" w:hAnsi="宋体" w:eastAsia="宋体" w:cs="宋体"/>
                <w:kern w:val="0"/>
                <w:sz w:val="18"/>
                <w:szCs w:val="18"/>
                <w:highlight w:val="none"/>
                <w:u w:val="none"/>
              </w:rPr>
            </w:pPr>
          </w:p>
        </w:tc>
        <w:tc>
          <w:tcPr>
            <w:tcW w:w="602" w:type="dxa"/>
            <w:tcBorders>
              <w:top w:val="nil"/>
              <w:left w:val="nil"/>
              <w:bottom w:val="single" w:color="auto" w:sz="4" w:space="0"/>
              <w:right w:val="single" w:color="auto" w:sz="4" w:space="0"/>
            </w:tcBorders>
            <w:shd w:val="clear" w:color="auto" w:fill="auto"/>
            <w:noWrap/>
            <w:vAlign w:val="center"/>
          </w:tcPr>
          <w:p w14:paraId="095AB5C6">
            <w:pPr>
              <w:widowControl/>
              <w:jc w:val="center"/>
              <w:rPr>
                <w:rFonts w:ascii="宋体" w:hAnsi="宋体" w:eastAsia="宋体" w:cs="宋体"/>
                <w:kern w:val="0"/>
                <w:sz w:val="18"/>
                <w:szCs w:val="18"/>
                <w:highlight w:val="none"/>
                <w:u w:val="none"/>
              </w:rPr>
            </w:pPr>
          </w:p>
        </w:tc>
        <w:tc>
          <w:tcPr>
            <w:tcW w:w="602" w:type="dxa"/>
            <w:gridSpan w:val="2"/>
            <w:tcBorders>
              <w:top w:val="nil"/>
              <w:left w:val="nil"/>
              <w:bottom w:val="single" w:color="auto" w:sz="4" w:space="0"/>
              <w:right w:val="single" w:color="auto" w:sz="4" w:space="0"/>
            </w:tcBorders>
            <w:shd w:val="clear" w:color="auto" w:fill="auto"/>
            <w:vAlign w:val="center"/>
          </w:tcPr>
          <w:p w14:paraId="1A11EF32">
            <w:pPr>
              <w:widowControl/>
              <w:jc w:val="left"/>
              <w:rPr>
                <w:rFonts w:ascii="宋体" w:hAnsi="宋体" w:eastAsia="宋体" w:cs="宋体"/>
                <w:kern w:val="0"/>
                <w:sz w:val="18"/>
                <w:szCs w:val="18"/>
                <w:highlight w:val="none"/>
                <w:u w:val="none"/>
              </w:rPr>
            </w:pPr>
          </w:p>
        </w:tc>
      </w:tr>
      <w:tr w14:paraId="3CBE7FEB">
        <w:tblPrEx>
          <w:tblCellMar>
            <w:top w:w="0" w:type="dxa"/>
            <w:left w:w="108" w:type="dxa"/>
            <w:bottom w:w="0" w:type="dxa"/>
            <w:right w:w="108" w:type="dxa"/>
          </w:tblCellMar>
        </w:tblPrEx>
        <w:trPr>
          <w:trHeight w:val="330" w:hRule="atLeast"/>
        </w:trPr>
        <w:tc>
          <w:tcPr>
            <w:tcW w:w="977" w:type="dxa"/>
            <w:vMerge w:val="continue"/>
            <w:tcBorders>
              <w:top w:val="nil"/>
              <w:left w:val="single" w:color="auto" w:sz="4" w:space="0"/>
              <w:bottom w:val="single" w:color="auto" w:sz="4" w:space="0"/>
              <w:right w:val="single" w:color="auto" w:sz="4" w:space="0"/>
            </w:tcBorders>
            <w:vAlign w:val="center"/>
          </w:tcPr>
          <w:p w14:paraId="2AB8850D">
            <w:pPr>
              <w:widowControl/>
              <w:jc w:val="left"/>
              <w:rPr>
                <w:rFonts w:ascii="宋体" w:hAnsi="宋体" w:eastAsia="宋体" w:cs="宋体"/>
                <w:kern w:val="0"/>
                <w:sz w:val="18"/>
                <w:szCs w:val="18"/>
                <w:highlight w:val="none"/>
                <w:u w:val="none"/>
              </w:rPr>
            </w:pPr>
          </w:p>
        </w:tc>
        <w:tc>
          <w:tcPr>
            <w:tcW w:w="404" w:type="dxa"/>
            <w:tcBorders>
              <w:top w:val="nil"/>
              <w:left w:val="nil"/>
              <w:bottom w:val="single" w:color="auto" w:sz="4" w:space="0"/>
              <w:right w:val="single" w:color="auto" w:sz="4" w:space="0"/>
            </w:tcBorders>
            <w:shd w:val="clear" w:color="auto" w:fill="auto"/>
            <w:noWrap/>
            <w:vAlign w:val="center"/>
          </w:tcPr>
          <w:p w14:paraId="20237F6E">
            <w:pPr>
              <w:widowControl/>
              <w:jc w:val="center"/>
              <w:rPr>
                <w:rFonts w:ascii="宋体" w:hAnsi="宋体" w:eastAsia="宋体" w:cs="宋体"/>
                <w:kern w:val="0"/>
                <w:sz w:val="18"/>
                <w:szCs w:val="18"/>
                <w:highlight w:val="none"/>
                <w:u w:val="none"/>
              </w:rPr>
            </w:pPr>
            <w:r>
              <w:rPr>
                <w:rFonts w:hint="default" w:ascii="Times New Roman" w:hAnsi="Times New Roman" w:eastAsia="宋体" w:cs="Times New Roman"/>
                <w:kern w:val="0"/>
                <w:sz w:val="18"/>
                <w:szCs w:val="18"/>
                <w:highlight w:val="none"/>
                <w:u w:val="none"/>
              </w:rPr>
              <w:t>3</w:t>
            </w:r>
          </w:p>
        </w:tc>
        <w:tc>
          <w:tcPr>
            <w:tcW w:w="724" w:type="dxa"/>
            <w:tcBorders>
              <w:top w:val="nil"/>
              <w:left w:val="nil"/>
              <w:bottom w:val="single" w:color="auto" w:sz="4" w:space="0"/>
              <w:right w:val="single" w:color="auto" w:sz="4" w:space="0"/>
            </w:tcBorders>
            <w:shd w:val="clear" w:color="auto" w:fill="auto"/>
            <w:noWrap/>
            <w:vAlign w:val="center"/>
          </w:tcPr>
          <w:p w14:paraId="5F796814">
            <w:pPr>
              <w:widowControl/>
              <w:jc w:val="left"/>
              <w:rPr>
                <w:rFonts w:ascii="宋体" w:hAnsi="宋体" w:eastAsia="宋体" w:cs="宋体"/>
                <w:kern w:val="0"/>
                <w:sz w:val="18"/>
                <w:szCs w:val="18"/>
                <w:highlight w:val="none"/>
                <w:u w:val="none"/>
              </w:rPr>
            </w:pPr>
          </w:p>
        </w:tc>
        <w:tc>
          <w:tcPr>
            <w:tcW w:w="598" w:type="dxa"/>
            <w:tcBorders>
              <w:top w:val="nil"/>
              <w:left w:val="nil"/>
              <w:bottom w:val="single" w:color="auto" w:sz="4" w:space="0"/>
              <w:right w:val="single" w:color="auto" w:sz="4" w:space="0"/>
            </w:tcBorders>
            <w:shd w:val="clear" w:color="auto" w:fill="auto"/>
            <w:noWrap/>
            <w:vAlign w:val="center"/>
          </w:tcPr>
          <w:p w14:paraId="404CF5F3">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4E4502AC">
            <w:pPr>
              <w:widowControl/>
              <w:jc w:val="center"/>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6F916296">
            <w:pPr>
              <w:widowControl/>
              <w:jc w:val="center"/>
              <w:rPr>
                <w:rFonts w:ascii="宋体" w:hAnsi="宋体" w:eastAsia="宋体" w:cs="宋体"/>
                <w:kern w:val="0"/>
                <w:sz w:val="18"/>
                <w:szCs w:val="18"/>
                <w:highlight w:val="none"/>
                <w:u w:val="none"/>
              </w:rPr>
            </w:pPr>
          </w:p>
        </w:tc>
        <w:tc>
          <w:tcPr>
            <w:tcW w:w="598" w:type="dxa"/>
            <w:tcBorders>
              <w:top w:val="nil"/>
              <w:left w:val="nil"/>
              <w:bottom w:val="single" w:color="auto" w:sz="4" w:space="0"/>
              <w:right w:val="single" w:color="auto" w:sz="4" w:space="0"/>
            </w:tcBorders>
            <w:shd w:val="clear" w:color="auto" w:fill="auto"/>
            <w:noWrap/>
            <w:vAlign w:val="center"/>
          </w:tcPr>
          <w:p w14:paraId="4CD37D6A">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499DE336">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55115832">
            <w:pPr>
              <w:widowControl/>
              <w:jc w:val="left"/>
              <w:rPr>
                <w:rFonts w:ascii="宋体" w:hAnsi="宋体" w:eastAsia="宋体" w:cs="宋体"/>
                <w:kern w:val="0"/>
                <w:sz w:val="18"/>
                <w:szCs w:val="18"/>
                <w:highlight w:val="none"/>
                <w:u w:val="none"/>
              </w:rPr>
            </w:pPr>
          </w:p>
        </w:tc>
        <w:tc>
          <w:tcPr>
            <w:tcW w:w="598" w:type="dxa"/>
            <w:tcBorders>
              <w:top w:val="nil"/>
              <w:left w:val="nil"/>
              <w:bottom w:val="single" w:color="auto" w:sz="4" w:space="0"/>
              <w:right w:val="single" w:color="auto" w:sz="4" w:space="0"/>
            </w:tcBorders>
            <w:shd w:val="clear" w:color="auto" w:fill="auto"/>
            <w:noWrap/>
            <w:vAlign w:val="center"/>
          </w:tcPr>
          <w:p w14:paraId="61E2FBD3">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4AD7BEA3">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01229983">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1902DF9A">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3FB4F16B">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1744D6F9">
            <w:pPr>
              <w:widowControl/>
              <w:jc w:val="left"/>
              <w:rPr>
                <w:rFonts w:ascii="宋体" w:hAnsi="宋体" w:eastAsia="宋体" w:cs="宋体"/>
                <w:kern w:val="0"/>
                <w:sz w:val="18"/>
                <w:szCs w:val="18"/>
                <w:highlight w:val="none"/>
                <w:u w:val="none"/>
              </w:rPr>
            </w:pPr>
          </w:p>
        </w:tc>
        <w:tc>
          <w:tcPr>
            <w:tcW w:w="598" w:type="dxa"/>
            <w:tcBorders>
              <w:top w:val="nil"/>
              <w:left w:val="nil"/>
              <w:bottom w:val="single" w:color="auto" w:sz="4" w:space="0"/>
              <w:right w:val="single" w:color="auto" w:sz="4" w:space="0"/>
            </w:tcBorders>
            <w:shd w:val="clear" w:color="auto" w:fill="auto"/>
            <w:noWrap/>
            <w:vAlign w:val="center"/>
          </w:tcPr>
          <w:p w14:paraId="637767DE">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19B56D77">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672CDCCD">
            <w:pPr>
              <w:widowControl/>
              <w:jc w:val="left"/>
              <w:rPr>
                <w:rFonts w:ascii="宋体" w:hAnsi="宋体" w:eastAsia="宋体" w:cs="宋体"/>
                <w:kern w:val="0"/>
                <w:sz w:val="18"/>
                <w:szCs w:val="18"/>
                <w:highlight w:val="none"/>
                <w:u w:val="none"/>
              </w:rPr>
            </w:pPr>
          </w:p>
        </w:tc>
        <w:tc>
          <w:tcPr>
            <w:tcW w:w="598" w:type="dxa"/>
            <w:tcBorders>
              <w:top w:val="nil"/>
              <w:left w:val="nil"/>
              <w:bottom w:val="single" w:color="auto" w:sz="4" w:space="0"/>
              <w:right w:val="single" w:color="auto" w:sz="4" w:space="0"/>
            </w:tcBorders>
            <w:shd w:val="clear" w:color="auto" w:fill="auto"/>
            <w:noWrap/>
            <w:vAlign w:val="center"/>
          </w:tcPr>
          <w:p w14:paraId="3B3D2EB7">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50F9BBF3">
            <w:pPr>
              <w:widowControl/>
              <w:jc w:val="center"/>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4433EFD5">
            <w:pPr>
              <w:widowControl/>
              <w:jc w:val="left"/>
              <w:rPr>
                <w:rFonts w:ascii="宋体" w:hAnsi="宋体" w:eastAsia="宋体" w:cs="宋体"/>
                <w:kern w:val="0"/>
                <w:sz w:val="18"/>
                <w:szCs w:val="18"/>
                <w:highlight w:val="none"/>
                <w:u w:val="none"/>
              </w:rPr>
            </w:pPr>
          </w:p>
        </w:tc>
        <w:tc>
          <w:tcPr>
            <w:tcW w:w="598" w:type="dxa"/>
            <w:tcBorders>
              <w:top w:val="nil"/>
              <w:left w:val="nil"/>
              <w:bottom w:val="single" w:color="auto" w:sz="4" w:space="0"/>
              <w:right w:val="single" w:color="auto" w:sz="4" w:space="0"/>
            </w:tcBorders>
            <w:shd w:val="clear" w:color="auto" w:fill="auto"/>
            <w:noWrap/>
            <w:vAlign w:val="center"/>
          </w:tcPr>
          <w:p w14:paraId="5EA0FEEE">
            <w:pPr>
              <w:widowControl/>
              <w:jc w:val="center"/>
              <w:rPr>
                <w:rFonts w:ascii="宋体" w:hAnsi="宋体" w:eastAsia="宋体" w:cs="宋体"/>
                <w:kern w:val="0"/>
                <w:sz w:val="18"/>
                <w:szCs w:val="18"/>
                <w:highlight w:val="none"/>
                <w:u w:val="none"/>
              </w:rPr>
            </w:pPr>
          </w:p>
        </w:tc>
        <w:tc>
          <w:tcPr>
            <w:tcW w:w="602" w:type="dxa"/>
            <w:tcBorders>
              <w:top w:val="nil"/>
              <w:left w:val="nil"/>
              <w:bottom w:val="single" w:color="auto" w:sz="4" w:space="0"/>
              <w:right w:val="single" w:color="auto" w:sz="4" w:space="0"/>
            </w:tcBorders>
            <w:shd w:val="clear" w:color="auto" w:fill="auto"/>
            <w:noWrap/>
            <w:vAlign w:val="center"/>
          </w:tcPr>
          <w:p w14:paraId="2D7B81AB">
            <w:pPr>
              <w:widowControl/>
              <w:jc w:val="center"/>
              <w:rPr>
                <w:rFonts w:ascii="宋体" w:hAnsi="宋体" w:eastAsia="宋体" w:cs="宋体"/>
                <w:kern w:val="0"/>
                <w:sz w:val="18"/>
                <w:szCs w:val="18"/>
                <w:highlight w:val="none"/>
                <w:u w:val="none"/>
              </w:rPr>
            </w:pPr>
          </w:p>
        </w:tc>
        <w:tc>
          <w:tcPr>
            <w:tcW w:w="602" w:type="dxa"/>
            <w:gridSpan w:val="2"/>
            <w:tcBorders>
              <w:top w:val="nil"/>
              <w:left w:val="nil"/>
              <w:bottom w:val="single" w:color="auto" w:sz="4" w:space="0"/>
              <w:right w:val="single" w:color="auto" w:sz="4" w:space="0"/>
            </w:tcBorders>
            <w:shd w:val="clear" w:color="auto" w:fill="auto"/>
            <w:noWrap/>
            <w:vAlign w:val="center"/>
          </w:tcPr>
          <w:p w14:paraId="3354CEE7">
            <w:pPr>
              <w:widowControl/>
              <w:jc w:val="left"/>
              <w:rPr>
                <w:rFonts w:ascii="宋体" w:hAnsi="宋体" w:eastAsia="宋体" w:cs="宋体"/>
                <w:kern w:val="0"/>
                <w:sz w:val="18"/>
                <w:szCs w:val="18"/>
                <w:highlight w:val="none"/>
                <w:u w:val="none"/>
              </w:rPr>
            </w:pPr>
          </w:p>
        </w:tc>
      </w:tr>
      <w:tr w14:paraId="1026D346">
        <w:tblPrEx>
          <w:tblCellMar>
            <w:top w:w="0" w:type="dxa"/>
            <w:left w:w="108" w:type="dxa"/>
            <w:bottom w:w="0" w:type="dxa"/>
            <w:right w:w="108" w:type="dxa"/>
          </w:tblCellMar>
        </w:tblPrEx>
        <w:trPr>
          <w:trHeight w:val="330" w:hRule="atLeast"/>
        </w:trPr>
        <w:tc>
          <w:tcPr>
            <w:tcW w:w="977" w:type="dxa"/>
            <w:vMerge w:val="continue"/>
            <w:tcBorders>
              <w:top w:val="nil"/>
              <w:left w:val="single" w:color="auto" w:sz="4" w:space="0"/>
              <w:bottom w:val="single" w:color="auto" w:sz="4" w:space="0"/>
              <w:right w:val="single" w:color="auto" w:sz="4" w:space="0"/>
            </w:tcBorders>
            <w:vAlign w:val="center"/>
          </w:tcPr>
          <w:p w14:paraId="42F05690">
            <w:pPr>
              <w:widowControl/>
              <w:jc w:val="left"/>
              <w:rPr>
                <w:rFonts w:ascii="宋体" w:hAnsi="宋体" w:eastAsia="宋体" w:cs="宋体"/>
                <w:kern w:val="0"/>
                <w:sz w:val="18"/>
                <w:szCs w:val="18"/>
                <w:highlight w:val="none"/>
                <w:u w:val="none"/>
              </w:rPr>
            </w:pPr>
          </w:p>
        </w:tc>
        <w:tc>
          <w:tcPr>
            <w:tcW w:w="404" w:type="dxa"/>
            <w:tcBorders>
              <w:top w:val="nil"/>
              <w:left w:val="nil"/>
              <w:bottom w:val="single" w:color="auto" w:sz="4" w:space="0"/>
              <w:right w:val="single" w:color="auto" w:sz="4" w:space="0"/>
            </w:tcBorders>
            <w:shd w:val="clear" w:color="auto" w:fill="auto"/>
            <w:noWrap/>
            <w:vAlign w:val="center"/>
          </w:tcPr>
          <w:p w14:paraId="42555A87">
            <w:pPr>
              <w:widowControl/>
              <w:jc w:val="center"/>
              <w:rPr>
                <w:rFonts w:ascii="宋体" w:hAnsi="宋体" w:eastAsia="宋体" w:cs="宋体"/>
                <w:kern w:val="0"/>
                <w:sz w:val="18"/>
                <w:szCs w:val="18"/>
                <w:highlight w:val="none"/>
                <w:u w:val="none"/>
              </w:rPr>
            </w:pPr>
            <w:r>
              <w:rPr>
                <w:rFonts w:hint="eastAsia" w:ascii="宋体" w:hAnsi="宋体" w:eastAsia="宋体" w:cs="宋体"/>
                <w:kern w:val="0"/>
                <w:sz w:val="18"/>
                <w:szCs w:val="18"/>
                <w:highlight w:val="none"/>
                <w:u w:val="none"/>
              </w:rPr>
              <w:t>……</w:t>
            </w:r>
          </w:p>
        </w:tc>
        <w:tc>
          <w:tcPr>
            <w:tcW w:w="724" w:type="dxa"/>
            <w:tcBorders>
              <w:top w:val="nil"/>
              <w:left w:val="nil"/>
              <w:bottom w:val="single" w:color="auto" w:sz="4" w:space="0"/>
              <w:right w:val="single" w:color="auto" w:sz="4" w:space="0"/>
            </w:tcBorders>
            <w:shd w:val="clear" w:color="auto" w:fill="auto"/>
            <w:noWrap/>
            <w:vAlign w:val="center"/>
          </w:tcPr>
          <w:p w14:paraId="7C35591B">
            <w:pPr>
              <w:widowControl/>
              <w:jc w:val="left"/>
              <w:rPr>
                <w:rFonts w:ascii="宋体" w:hAnsi="宋体" w:eastAsia="宋体" w:cs="宋体"/>
                <w:kern w:val="0"/>
                <w:sz w:val="18"/>
                <w:szCs w:val="18"/>
                <w:highlight w:val="none"/>
                <w:u w:val="none"/>
              </w:rPr>
            </w:pPr>
          </w:p>
        </w:tc>
        <w:tc>
          <w:tcPr>
            <w:tcW w:w="598" w:type="dxa"/>
            <w:tcBorders>
              <w:top w:val="nil"/>
              <w:left w:val="nil"/>
              <w:bottom w:val="single" w:color="auto" w:sz="4" w:space="0"/>
              <w:right w:val="single" w:color="auto" w:sz="4" w:space="0"/>
            </w:tcBorders>
            <w:shd w:val="clear" w:color="auto" w:fill="auto"/>
            <w:noWrap/>
            <w:vAlign w:val="center"/>
          </w:tcPr>
          <w:p w14:paraId="7D614AD6">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5EA9668B">
            <w:pPr>
              <w:widowControl/>
              <w:jc w:val="center"/>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741616E8">
            <w:pPr>
              <w:widowControl/>
              <w:jc w:val="center"/>
              <w:rPr>
                <w:rFonts w:ascii="宋体" w:hAnsi="宋体" w:eastAsia="宋体" w:cs="宋体"/>
                <w:kern w:val="0"/>
                <w:sz w:val="18"/>
                <w:szCs w:val="18"/>
                <w:highlight w:val="none"/>
                <w:u w:val="none"/>
              </w:rPr>
            </w:pPr>
          </w:p>
        </w:tc>
        <w:tc>
          <w:tcPr>
            <w:tcW w:w="598" w:type="dxa"/>
            <w:tcBorders>
              <w:top w:val="nil"/>
              <w:left w:val="nil"/>
              <w:bottom w:val="single" w:color="auto" w:sz="4" w:space="0"/>
              <w:right w:val="single" w:color="auto" w:sz="4" w:space="0"/>
            </w:tcBorders>
            <w:shd w:val="clear" w:color="auto" w:fill="auto"/>
            <w:noWrap/>
            <w:vAlign w:val="center"/>
          </w:tcPr>
          <w:p w14:paraId="13589AA7">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7B5E4E67">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5855E07D">
            <w:pPr>
              <w:widowControl/>
              <w:jc w:val="left"/>
              <w:rPr>
                <w:rFonts w:ascii="宋体" w:hAnsi="宋体" w:eastAsia="宋体" w:cs="宋体"/>
                <w:kern w:val="0"/>
                <w:sz w:val="18"/>
                <w:szCs w:val="18"/>
                <w:highlight w:val="none"/>
                <w:u w:val="none"/>
              </w:rPr>
            </w:pPr>
          </w:p>
        </w:tc>
        <w:tc>
          <w:tcPr>
            <w:tcW w:w="598" w:type="dxa"/>
            <w:tcBorders>
              <w:top w:val="nil"/>
              <w:left w:val="nil"/>
              <w:bottom w:val="single" w:color="auto" w:sz="4" w:space="0"/>
              <w:right w:val="single" w:color="auto" w:sz="4" w:space="0"/>
            </w:tcBorders>
            <w:shd w:val="clear" w:color="auto" w:fill="auto"/>
            <w:noWrap/>
            <w:vAlign w:val="center"/>
          </w:tcPr>
          <w:p w14:paraId="10B0AC5D">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030F2938">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0081CBFD">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5F847E76">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300747E0">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75FE434C">
            <w:pPr>
              <w:widowControl/>
              <w:jc w:val="left"/>
              <w:rPr>
                <w:rFonts w:ascii="宋体" w:hAnsi="宋体" w:eastAsia="宋体" w:cs="宋体"/>
                <w:kern w:val="0"/>
                <w:sz w:val="18"/>
                <w:szCs w:val="18"/>
                <w:highlight w:val="none"/>
                <w:u w:val="none"/>
              </w:rPr>
            </w:pPr>
          </w:p>
        </w:tc>
        <w:tc>
          <w:tcPr>
            <w:tcW w:w="598" w:type="dxa"/>
            <w:tcBorders>
              <w:top w:val="nil"/>
              <w:left w:val="nil"/>
              <w:bottom w:val="single" w:color="auto" w:sz="4" w:space="0"/>
              <w:right w:val="single" w:color="auto" w:sz="4" w:space="0"/>
            </w:tcBorders>
            <w:shd w:val="clear" w:color="auto" w:fill="auto"/>
            <w:noWrap/>
            <w:vAlign w:val="center"/>
          </w:tcPr>
          <w:p w14:paraId="3C9031E2">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47A2459A">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4D9C50D6">
            <w:pPr>
              <w:widowControl/>
              <w:jc w:val="left"/>
              <w:rPr>
                <w:rFonts w:ascii="宋体" w:hAnsi="宋体" w:eastAsia="宋体" w:cs="宋体"/>
                <w:kern w:val="0"/>
                <w:sz w:val="18"/>
                <w:szCs w:val="18"/>
                <w:highlight w:val="none"/>
                <w:u w:val="none"/>
              </w:rPr>
            </w:pPr>
          </w:p>
        </w:tc>
        <w:tc>
          <w:tcPr>
            <w:tcW w:w="598" w:type="dxa"/>
            <w:tcBorders>
              <w:top w:val="nil"/>
              <w:left w:val="nil"/>
              <w:bottom w:val="single" w:color="auto" w:sz="4" w:space="0"/>
              <w:right w:val="single" w:color="auto" w:sz="4" w:space="0"/>
            </w:tcBorders>
            <w:shd w:val="clear" w:color="auto" w:fill="auto"/>
            <w:noWrap/>
            <w:vAlign w:val="center"/>
          </w:tcPr>
          <w:p w14:paraId="720183D8">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30607259">
            <w:pPr>
              <w:widowControl/>
              <w:jc w:val="center"/>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52AEFAAB">
            <w:pPr>
              <w:widowControl/>
              <w:jc w:val="left"/>
              <w:rPr>
                <w:rFonts w:ascii="宋体" w:hAnsi="宋体" w:eastAsia="宋体" w:cs="宋体"/>
                <w:kern w:val="0"/>
                <w:sz w:val="18"/>
                <w:szCs w:val="18"/>
                <w:highlight w:val="none"/>
                <w:u w:val="none"/>
              </w:rPr>
            </w:pPr>
          </w:p>
        </w:tc>
        <w:tc>
          <w:tcPr>
            <w:tcW w:w="598" w:type="dxa"/>
            <w:tcBorders>
              <w:top w:val="nil"/>
              <w:left w:val="nil"/>
              <w:bottom w:val="single" w:color="auto" w:sz="4" w:space="0"/>
              <w:right w:val="single" w:color="auto" w:sz="4" w:space="0"/>
            </w:tcBorders>
            <w:shd w:val="clear" w:color="auto" w:fill="auto"/>
            <w:noWrap/>
            <w:vAlign w:val="center"/>
          </w:tcPr>
          <w:p w14:paraId="7F4E2F8E">
            <w:pPr>
              <w:widowControl/>
              <w:jc w:val="center"/>
              <w:rPr>
                <w:rFonts w:ascii="宋体" w:hAnsi="宋体" w:eastAsia="宋体" w:cs="宋体"/>
                <w:kern w:val="0"/>
                <w:sz w:val="18"/>
                <w:szCs w:val="18"/>
                <w:highlight w:val="none"/>
                <w:u w:val="none"/>
              </w:rPr>
            </w:pPr>
          </w:p>
        </w:tc>
        <w:tc>
          <w:tcPr>
            <w:tcW w:w="602" w:type="dxa"/>
            <w:tcBorders>
              <w:top w:val="nil"/>
              <w:left w:val="nil"/>
              <w:bottom w:val="single" w:color="auto" w:sz="4" w:space="0"/>
              <w:right w:val="single" w:color="auto" w:sz="4" w:space="0"/>
            </w:tcBorders>
            <w:shd w:val="clear" w:color="auto" w:fill="auto"/>
            <w:noWrap/>
            <w:vAlign w:val="center"/>
          </w:tcPr>
          <w:p w14:paraId="3AC548D7">
            <w:pPr>
              <w:widowControl/>
              <w:jc w:val="center"/>
              <w:rPr>
                <w:rFonts w:ascii="宋体" w:hAnsi="宋体" w:eastAsia="宋体" w:cs="宋体"/>
                <w:kern w:val="0"/>
                <w:sz w:val="18"/>
                <w:szCs w:val="18"/>
                <w:highlight w:val="none"/>
                <w:u w:val="none"/>
              </w:rPr>
            </w:pPr>
          </w:p>
        </w:tc>
        <w:tc>
          <w:tcPr>
            <w:tcW w:w="602" w:type="dxa"/>
            <w:gridSpan w:val="2"/>
            <w:tcBorders>
              <w:top w:val="nil"/>
              <w:left w:val="nil"/>
              <w:bottom w:val="single" w:color="auto" w:sz="4" w:space="0"/>
              <w:right w:val="single" w:color="auto" w:sz="4" w:space="0"/>
            </w:tcBorders>
            <w:shd w:val="clear" w:color="auto" w:fill="auto"/>
            <w:noWrap/>
            <w:vAlign w:val="center"/>
          </w:tcPr>
          <w:p w14:paraId="208005A8">
            <w:pPr>
              <w:widowControl/>
              <w:jc w:val="left"/>
              <w:rPr>
                <w:rFonts w:ascii="宋体" w:hAnsi="宋体" w:eastAsia="宋体" w:cs="宋体"/>
                <w:kern w:val="0"/>
                <w:sz w:val="18"/>
                <w:szCs w:val="18"/>
                <w:highlight w:val="none"/>
                <w:u w:val="none"/>
              </w:rPr>
            </w:pPr>
          </w:p>
        </w:tc>
      </w:tr>
      <w:tr w14:paraId="4AC3970A">
        <w:tblPrEx>
          <w:tblCellMar>
            <w:top w:w="0" w:type="dxa"/>
            <w:left w:w="108" w:type="dxa"/>
            <w:bottom w:w="0" w:type="dxa"/>
            <w:right w:w="108" w:type="dxa"/>
          </w:tblCellMar>
        </w:tblPrEx>
        <w:trPr>
          <w:trHeight w:val="330" w:hRule="atLeast"/>
        </w:trPr>
        <w:tc>
          <w:tcPr>
            <w:tcW w:w="977" w:type="dxa"/>
            <w:vMerge w:val="continue"/>
            <w:tcBorders>
              <w:top w:val="nil"/>
              <w:left w:val="single" w:color="auto" w:sz="4" w:space="0"/>
              <w:bottom w:val="single" w:color="auto" w:sz="4" w:space="0"/>
              <w:right w:val="single" w:color="auto" w:sz="4" w:space="0"/>
            </w:tcBorders>
            <w:vAlign w:val="center"/>
          </w:tcPr>
          <w:p w14:paraId="2610FE18">
            <w:pPr>
              <w:widowControl/>
              <w:jc w:val="left"/>
              <w:rPr>
                <w:rFonts w:ascii="宋体" w:hAnsi="宋体" w:eastAsia="宋体" w:cs="宋体"/>
                <w:kern w:val="0"/>
                <w:sz w:val="18"/>
                <w:szCs w:val="18"/>
                <w:highlight w:val="none"/>
                <w:u w:val="none"/>
              </w:rPr>
            </w:pPr>
          </w:p>
        </w:tc>
        <w:tc>
          <w:tcPr>
            <w:tcW w:w="4720" w:type="dxa"/>
            <w:gridSpan w:val="8"/>
            <w:tcBorders>
              <w:top w:val="nil"/>
              <w:left w:val="nil"/>
              <w:bottom w:val="single" w:color="auto" w:sz="4" w:space="0"/>
              <w:right w:val="single" w:color="auto" w:sz="4" w:space="0"/>
            </w:tcBorders>
            <w:shd w:val="clear" w:color="auto" w:fill="auto"/>
            <w:noWrap/>
            <w:vAlign w:val="center"/>
          </w:tcPr>
          <w:p w14:paraId="19821704">
            <w:pPr>
              <w:widowControl/>
              <w:jc w:val="center"/>
              <w:rPr>
                <w:rFonts w:ascii="宋体" w:hAnsi="宋体" w:eastAsia="宋体" w:cs="宋体"/>
                <w:b/>
                <w:bCs/>
                <w:kern w:val="0"/>
                <w:sz w:val="18"/>
                <w:szCs w:val="18"/>
                <w:highlight w:val="none"/>
                <w:u w:val="none"/>
              </w:rPr>
            </w:pPr>
            <w:r>
              <w:rPr>
                <w:rFonts w:hint="eastAsia" w:ascii="宋体" w:hAnsi="宋体" w:eastAsia="宋体" w:cs="宋体"/>
                <w:b/>
                <w:bCs/>
                <w:kern w:val="0"/>
                <w:sz w:val="18"/>
                <w:szCs w:val="18"/>
                <w:highlight w:val="none"/>
                <w:u w:val="none"/>
              </w:rPr>
              <w:t>合计</w:t>
            </w:r>
          </w:p>
        </w:tc>
        <w:tc>
          <w:tcPr>
            <w:tcW w:w="598" w:type="dxa"/>
            <w:tcBorders>
              <w:top w:val="nil"/>
              <w:left w:val="nil"/>
              <w:bottom w:val="single" w:color="auto" w:sz="4" w:space="0"/>
              <w:right w:val="single" w:color="auto" w:sz="4" w:space="0"/>
            </w:tcBorders>
            <w:shd w:val="clear" w:color="auto" w:fill="auto"/>
            <w:noWrap/>
            <w:vAlign w:val="center"/>
          </w:tcPr>
          <w:p w14:paraId="3ECE195F">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4DD2E223">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3068E18B">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120A63B7">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1D95663F">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6D07B9F1">
            <w:pPr>
              <w:widowControl/>
              <w:jc w:val="left"/>
              <w:rPr>
                <w:rFonts w:ascii="宋体" w:hAnsi="宋体" w:eastAsia="宋体" w:cs="宋体"/>
                <w:kern w:val="0"/>
                <w:sz w:val="18"/>
                <w:szCs w:val="18"/>
                <w:highlight w:val="none"/>
                <w:u w:val="none"/>
              </w:rPr>
            </w:pPr>
          </w:p>
        </w:tc>
        <w:tc>
          <w:tcPr>
            <w:tcW w:w="598" w:type="dxa"/>
            <w:tcBorders>
              <w:top w:val="nil"/>
              <w:left w:val="nil"/>
              <w:bottom w:val="single" w:color="auto" w:sz="4" w:space="0"/>
              <w:right w:val="single" w:color="auto" w:sz="4" w:space="0"/>
            </w:tcBorders>
            <w:shd w:val="clear" w:color="auto" w:fill="auto"/>
            <w:noWrap/>
            <w:vAlign w:val="center"/>
          </w:tcPr>
          <w:p w14:paraId="1B056F5A">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097F7CD6">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2EDA5F0A">
            <w:pPr>
              <w:widowControl/>
              <w:jc w:val="left"/>
              <w:rPr>
                <w:rFonts w:ascii="宋体" w:hAnsi="宋体" w:eastAsia="宋体" w:cs="宋体"/>
                <w:kern w:val="0"/>
                <w:sz w:val="18"/>
                <w:szCs w:val="18"/>
                <w:highlight w:val="none"/>
                <w:u w:val="none"/>
              </w:rPr>
            </w:pPr>
          </w:p>
        </w:tc>
        <w:tc>
          <w:tcPr>
            <w:tcW w:w="598" w:type="dxa"/>
            <w:tcBorders>
              <w:top w:val="nil"/>
              <w:left w:val="nil"/>
              <w:bottom w:val="single" w:color="auto" w:sz="4" w:space="0"/>
              <w:right w:val="single" w:color="auto" w:sz="4" w:space="0"/>
            </w:tcBorders>
            <w:shd w:val="clear" w:color="auto" w:fill="auto"/>
            <w:noWrap/>
            <w:vAlign w:val="center"/>
          </w:tcPr>
          <w:p w14:paraId="3B7F6B84">
            <w:pPr>
              <w:widowControl/>
              <w:jc w:val="left"/>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35EE579B">
            <w:pPr>
              <w:widowControl/>
              <w:jc w:val="center"/>
              <w:rPr>
                <w:rFonts w:ascii="宋体" w:hAnsi="宋体" w:eastAsia="宋体" w:cs="宋体"/>
                <w:kern w:val="0"/>
                <w:sz w:val="18"/>
                <w:szCs w:val="18"/>
                <w:highlight w:val="none"/>
                <w:u w:val="none"/>
              </w:rPr>
            </w:pPr>
          </w:p>
        </w:tc>
        <w:tc>
          <w:tcPr>
            <w:tcW w:w="599" w:type="dxa"/>
            <w:tcBorders>
              <w:top w:val="nil"/>
              <w:left w:val="nil"/>
              <w:bottom w:val="single" w:color="auto" w:sz="4" w:space="0"/>
              <w:right w:val="single" w:color="auto" w:sz="4" w:space="0"/>
            </w:tcBorders>
            <w:shd w:val="clear" w:color="auto" w:fill="auto"/>
            <w:noWrap/>
            <w:vAlign w:val="center"/>
          </w:tcPr>
          <w:p w14:paraId="465FCF21">
            <w:pPr>
              <w:widowControl/>
              <w:jc w:val="left"/>
              <w:rPr>
                <w:rFonts w:ascii="宋体" w:hAnsi="宋体" w:eastAsia="宋体" w:cs="宋体"/>
                <w:kern w:val="0"/>
                <w:sz w:val="18"/>
                <w:szCs w:val="18"/>
                <w:highlight w:val="none"/>
                <w:u w:val="none"/>
              </w:rPr>
            </w:pPr>
          </w:p>
        </w:tc>
        <w:tc>
          <w:tcPr>
            <w:tcW w:w="598" w:type="dxa"/>
            <w:tcBorders>
              <w:top w:val="nil"/>
              <w:left w:val="nil"/>
              <w:bottom w:val="single" w:color="auto" w:sz="4" w:space="0"/>
              <w:right w:val="single" w:color="auto" w:sz="4" w:space="0"/>
            </w:tcBorders>
            <w:shd w:val="clear" w:color="auto" w:fill="auto"/>
            <w:noWrap/>
            <w:vAlign w:val="center"/>
          </w:tcPr>
          <w:p w14:paraId="552E5E7B">
            <w:pPr>
              <w:widowControl/>
              <w:jc w:val="center"/>
              <w:rPr>
                <w:rFonts w:ascii="宋体" w:hAnsi="宋体" w:eastAsia="宋体" w:cs="宋体"/>
                <w:kern w:val="0"/>
                <w:sz w:val="18"/>
                <w:szCs w:val="18"/>
                <w:highlight w:val="none"/>
                <w:u w:val="none"/>
              </w:rPr>
            </w:pPr>
          </w:p>
        </w:tc>
        <w:tc>
          <w:tcPr>
            <w:tcW w:w="602" w:type="dxa"/>
            <w:tcBorders>
              <w:top w:val="nil"/>
              <w:left w:val="nil"/>
              <w:bottom w:val="single" w:color="auto" w:sz="4" w:space="0"/>
              <w:right w:val="single" w:color="auto" w:sz="4" w:space="0"/>
            </w:tcBorders>
            <w:shd w:val="clear" w:color="auto" w:fill="auto"/>
            <w:noWrap/>
            <w:vAlign w:val="center"/>
          </w:tcPr>
          <w:p w14:paraId="51CFBDCA">
            <w:pPr>
              <w:widowControl/>
              <w:jc w:val="center"/>
              <w:rPr>
                <w:rFonts w:ascii="宋体" w:hAnsi="宋体" w:eastAsia="宋体" w:cs="宋体"/>
                <w:kern w:val="0"/>
                <w:sz w:val="18"/>
                <w:szCs w:val="18"/>
                <w:highlight w:val="none"/>
                <w:u w:val="none"/>
              </w:rPr>
            </w:pPr>
          </w:p>
        </w:tc>
        <w:tc>
          <w:tcPr>
            <w:tcW w:w="602" w:type="dxa"/>
            <w:gridSpan w:val="2"/>
            <w:tcBorders>
              <w:top w:val="nil"/>
              <w:left w:val="nil"/>
              <w:bottom w:val="single" w:color="auto" w:sz="4" w:space="0"/>
              <w:right w:val="single" w:color="auto" w:sz="4" w:space="0"/>
            </w:tcBorders>
            <w:shd w:val="clear" w:color="auto" w:fill="auto"/>
            <w:noWrap/>
            <w:vAlign w:val="center"/>
          </w:tcPr>
          <w:p w14:paraId="63E32C50">
            <w:pPr>
              <w:widowControl/>
              <w:jc w:val="left"/>
              <w:rPr>
                <w:rFonts w:ascii="宋体" w:hAnsi="宋体" w:eastAsia="宋体" w:cs="宋体"/>
                <w:kern w:val="0"/>
                <w:sz w:val="18"/>
                <w:szCs w:val="18"/>
                <w:highlight w:val="none"/>
                <w:u w:val="none"/>
              </w:rPr>
            </w:pPr>
          </w:p>
        </w:tc>
      </w:tr>
    </w:tbl>
    <w:p w14:paraId="510382AA">
      <w:pPr>
        <w:widowControl/>
        <w:jc w:val="left"/>
        <w:rPr>
          <w:rFonts w:ascii="Times New Roman" w:hAnsi="Times New Roman" w:eastAsia="仿宋_GB2312" w:cs="Times New Roman"/>
          <w:kern w:val="0"/>
          <w:sz w:val="32"/>
          <w:szCs w:val="32"/>
          <w:highlight w:val="none"/>
          <w:u w:val="none"/>
        </w:rPr>
      </w:pPr>
      <w:r>
        <w:rPr>
          <w:rFonts w:hint="eastAsia" w:ascii="Calibri" w:hAnsi="Calibri" w:eastAsia="宋体" w:cs="Times New Roman"/>
          <w:highlight w:val="none"/>
          <w:u w:val="none"/>
        </w:rPr>
        <w:t>注：估值请标注数据来源。</w:t>
      </w:r>
    </w:p>
    <w:p w14:paraId="6FBD984F">
      <w:pPr>
        <w:widowControl/>
        <w:jc w:val="left"/>
        <w:rPr>
          <w:rFonts w:ascii="黑体" w:hAnsi="黑体" w:eastAsia="黑体" w:cs="黑体"/>
          <w:sz w:val="32"/>
          <w:szCs w:val="32"/>
          <w:highlight w:val="none"/>
          <w:u w:val="none"/>
        </w:rPr>
        <w:sectPr>
          <w:pgSz w:w="16838" w:h="11906" w:orient="landscape"/>
          <w:pgMar w:top="1587" w:right="2041" w:bottom="1474" w:left="1928" w:header="851" w:footer="992" w:gutter="0"/>
          <w:pgNumType w:fmt="decimal"/>
          <w:cols w:space="425" w:num="1"/>
          <w:docGrid w:type="lines" w:linePitch="312" w:charSpace="0"/>
        </w:sectPr>
      </w:pPr>
      <w:r>
        <w:rPr>
          <w:rFonts w:ascii="黑体" w:hAnsi="黑体" w:eastAsia="黑体" w:cs="黑体"/>
          <w:sz w:val="32"/>
          <w:szCs w:val="32"/>
          <w:highlight w:val="none"/>
          <w:u w:val="none"/>
        </w:rPr>
        <w:br w:type="page"/>
      </w:r>
    </w:p>
    <w:p w14:paraId="5AE12C27">
      <w:pPr>
        <w:rPr>
          <w:rFonts w:ascii="黑体" w:hAnsi="黑体" w:eastAsia="黑体" w:cs="黑体"/>
          <w:sz w:val="32"/>
          <w:szCs w:val="32"/>
          <w:highlight w:val="none"/>
          <w:u w:val="none"/>
        </w:rPr>
      </w:pPr>
      <w:r>
        <w:rPr>
          <w:rFonts w:hint="eastAsia" w:ascii="黑体" w:hAnsi="黑体" w:eastAsia="黑体" w:cs="黑体"/>
          <w:sz w:val="32"/>
          <w:szCs w:val="32"/>
          <w:highlight w:val="none"/>
          <w:u w:val="none"/>
        </w:rPr>
        <w:t>附件</w:t>
      </w:r>
      <w:r>
        <w:rPr>
          <w:rFonts w:hint="default" w:ascii="Times New Roman" w:hAnsi="Times New Roman" w:eastAsia="黑体" w:cs="Times New Roman"/>
          <w:sz w:val="32"/>
          <w:szCs w:val="32"/>
          <w:highlight w:val="none"/>
          <w:u w:val="none"/>
        </w:rPr>
        <w:t>4</w:t>
      </w:r>
    </w:p>
    <w:p w14:paraId="6A5ADFA0">
      <w:pPr>
        <w:pStyle w:val="2"/>
        <w:adjustRightInd w:val="0"/>
        <w:snapToGrid w:val="0"/>
        <w:spacing w:before="0" w:after="0" w:line="680" w:lineRule="exact"/>
        <w:jc w:val="center"/>
        <w:rPr>
          <w:rFonts w:ascii="微软雅黑" w:hAnsi="微软雅黑" w:eastAsia="微软雅黑" w:cs="微软雅黑"/>
          <w:b w:val="0"/>
          <w:bCs w:val="0"/>
          <w:sz w:val="36"/>
          <w:szCs w:val="36"/>
          <w:highlight w:val="none"/>
          <w:u w:val="none"/>
        </w:rPr>
      </w:pPr>
      <w:bookmarkStart w:id="38" w:name="_Toc10532_WPSOffice_Level2"/>
      <w:bookmarkStart w:id="39" w:name="_Toc20216_WPSOffice_Level2"/>
      <w:bookmarkStart w:id="40" w:name="_Toc11495_WPSOffice_Level2"/>
      <w:bookmarkStart w:id="41" w:name="_Toc3490_WPSOffice_Level2"/>
    </w:p>
    <w:p w14:paraId="173AA764">
      <w:pPr>
        <w:pStyle w:val="2"/>
        <w:adjustRightInd w:val="0"/>
        <w:snapToGrid w:val="0"/>
        <w:spacing w:before="0" w:after="0" w:line="680" w:lineRule="exact"/>
        <w:jc w:val="center"/>
        <w:rPr>
          <w:rFonts w:ascii="方正小标宋简体" w:hAnsi="方正小标宋简体" w:eastAsia="方正小标宋简体" w:cs="方正小标宋简体"/>
          <w:b w:val="0"/>
          <w:bCs w:val="0"/>
          <w:sz w:val="36"/>
          <w:szCs w:val="36"/>
          <w:highlight w:val="none"/>
          <w:u w:val="none"/>
        </w:rPr>
      </w:pPr>
      <w:r>
        <w:rPr>
          <w:rFonts w:hint="eastAsia" w:ascii="方正小标宋简体" w:hAnsi="方正小标宋简体" w:eastAsia="方正小标宋简体" w:cs="方正小标宋简体"/>
          <w:b w:val="0"/>
          <w:bCs w:val="0"/>
          <w:sz w:val="36"/>
          <w:szCs w:val="36"/>
          <w:highlight w:val="none"/>
          <w:u w:val="none"/>
        </w:rPr>
        <w:t>承诺函</w:t>
      </w:r>
      <w:bookmarkEnd w:id="38"/>
      <w:bookmarkEnd w:id="39"/>
      <w:bookmarkEnd w:id="40"/>
      <w:bookmarkEnd w:id="41"/>
    </w:p>
    <w:p w14:paraId="4F508E1B">
      <w:pPr>
        <w:adjustRightInd w:val="0"/>
        <w:snapToGrid w:val="0"/>
        <w:spacing w:line="680" w:lineRule="exact"/>
        <w:rPr>
          <w:highlight w:val="none"/>
          <w:u w:val="none"/>
        </w:rPr>
      </w:pPr>
    </w:p>
    <w:p w14:paraId="674D9244">
      <w:pPr>
        <w:adjustRightInd w:val="0"/>
        <w:snapToGrid w:val="0"/>
        <w:spacing w:line="580" w:lineRule="exact"/>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高校科技成果转化基金遴选工作组：</w:t>
      </w:r>
    </w:p>
    <w:p w14:paraId="2985348E">
      <w:pPr>
        <w:adjustRightInd w:val="0"/>
        <w:snapToGrid w:val="0"/>
        <w:spacing w:line="580" w:lineRule="exact"/>
        <w:ind w:firstLine="64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本公司/本企业目前正在申请担任高校科技成果转化基金管理</w:t>
      </w:r>
      <w:r>
        <w:rPr>
          <w:rFonts w:hint="eastAsia" w:ascii="仿宋_GB2312" w:hAnsi="仿宋_GB2312" w:eastAsia="仿宋_GB2312" w:cs="仿宋_GB2312"/>
          <w:sz w:val="32"/>
          <w:szCs w:val="32"/>
          <w:highlight w:val="none"/>
          <w:u w:val="none"/>
          <w:lang w:val="en-US" w:eastAsia="zh-CN"/>
        </w:rPr>
        <w:t>机构</w:t>
      </w:r>
      <w:r>
        <w:rPr>
          <w:rFonts w:hint="eastAsia" w:ascii="仿宋_GB2312" w:hAnsi="仿宋_GB2312" w:eastAsia="仿宋_GB2312" w:cs="仿宋_GB2312"/>
          <w:sz w:val="32"/>
          <w:szCs w:val="32"/>
          <w:highlight w:val="none"/>
          <w:u w:val="none"/>
        </w:rPr>
        <w:t>相关事宜，现作出以下说明和承诺。</w:t>
      </w:r>
    </w:p>
    <w:p w14:paraId="236F4B34">
      <w:pPr>
        <w:pStyle w:val="13"/>
        <w:adjustRightInd/>
        <w:snapToGrid/>
        <w:spacing w:line="580" w:lineRule="exact"/>
        <w:ind w:firstLine="640" w:firstLineChars="200"/>
        <w:rPr>
          <w:rFonts w:hint="eastAsia" w:ascii="仿宋_GB2312" w:hAnsi="仿宋_GB2312" w:eastAsia="仿宋_GB2312" w:cs="仿宋_GB2312"/>
          <w:snapToGrid w:val="0"/>
          <w:kern w:val="0"/>
          <w:sz w:val="32"/>
          <w:szCs w:val="32"/>
          <w:highlight w:val="none"/>
          <w:u w:val="none"/>
          <w:lang w:eastAsia="zh-CN"/>
        </w:rPr>
      </w:pPr>
      <w:r>
        <w:rPr>
          <w:rFonts w:hint="eastAsia" w:ascii="仿宋_GB2312" w:hAnsi="仿宋_GB2312" w:eastAsia="仿宋_GB2312" w:cs="仿宋_GB2312"/>
          <w:sz w:val="32"/>
          <w:szCs w:val="32"/>
          <w:highlight w:val="none"/>
          <w:u w:val="none"/>
        </w:rPr>
        <w:t>一、本公司/本企业理解基金相关的法律、法规、规章、指引、办法和运行规则等文件的规定，承诺本公司/本企业符合前述文件规定的要求；本公司/本企业将继续遵守前述文件的规定，并承诺基金设立之日起，完全按照文件的规定管理基金事务，自愿接受</w:t>
      </w:r>
      <w:r>
        <w:rPr>
          <w:rFonts w:hint="eastAsia" w:ascii="仿宋_GB2312" w:hAnsi="仿宋_GB2312" w:eastAsia="仿宋_GB2312" w:cs="仿宋_GB2312"/>
          <w:snapToGrid w:val="0"/>
          <w:kern w:val="0"/>
          <w:sz w:val="32"/>
          <w:szCs w:val="32"/>
          <w:highlight w:val="none"/>
          <w:u w:val="none"/>
        </w:rPr>
        <w:t>基金管理委员会</w:t>
      </w:r>
      <w:r>
        <w:rPr>
          <w:rFonts w:hint="eastAsia" w:ascii="仿宋_GB2312" w:hAnsi="仿宋_GB2312" w:eastAsia="仿宋_GB2312" w:cs="仿宋_GB2312"/>
          <w:snapToGrid w:val="0"/>
          <w:kern w:val="0"/>
          <w:sz w:val="32"/>
          <w:szCs w:val="32"/>
          <w:highlight w:val="none"/>
          <w:u w:val="none"/>
          <w:lang w:val="en-US" w:eastAsia="zh-CN"/>
        </w:rPr>
        <w:t>制定相应的</w:t>
      </w:r>
      <w:r>
        <w:rPr>
          <w:rFonts w:hint="eastAsia" w:ascii="仿宋_GB2312" w:hAnsi="仿宋_GB2312" w:eastAsia="仿宋_GB2312" w:cs="仿宋_GB2312"/>
          <w:snapToGrid w:val="0"/>
          <w:kern w:val="0"/>
          <w:sz w:val="32"/>
          <w:szCs w:val="32"/>
          <w:highlight w:val="none"/>
          <w:u w:val="none"/>
        </w:rPr>
        <w:t>监督与绩效考核管理</w:t>
      </w:r>
      <w:r>
        <w:rPr>
          <w:rFonts w:hint="eastAsia" w:ascii="仿宋_GB2312" w:hAnsi="仿宋_GB2312" w:eastAsia="仿宋_GB2312" w:cs="仿宋_GB2312"/>
          <w:snapToGrid w:val="0"/>
          <w:kern w:val="0"/>
          <w:sz w:val="32"/>
          <w:szCs w:val="32"/>
          <w:highlight w:val="none"/>
          <w:u w:val="none"/>
          <w:lang w:val="en-US" w:eastAsia="zh-CN"/>
        </w:rPr>
        <w:t>制度</w:t>
      </w:r>
      <w:r>
        <w:rPr>
          <w:rFonts w:hint="eastAsia" w:ascii="仿宋_GB2312" w:hAnsi="仿宋_GB2312" w:eastAsia="仿宋_GB2312" w:cs="仿宋_GB2312"/>
          <w:snapToGrid w:val="0"/>
          <w:kern w:val="0"/>
          <w:sz w:val="32"/>
          <w:szCs w:val="32"/>
          <w:highlight w:val="none"/>
          <w:u w:val="none"/>
          <w:lang w:eastAsia="zh-CN"/>
        </w:rPr>
        <w:t>，</w:t>
      </w:r>
      <w:r>
        <w:rPr>
          <w:rFonts w:hint="eastAsia" w:ascii="仿宋_GB2312" w:hAnsi="仿宋_GB2312" w:eastAsia="仿宋_GB2312" w:cs="仿宋_GB2312"/>
          <w:snapToGrid w:val="0"/>
          <w:kern w:val="0"/>
          <w:sz w:val="32"/>
          <w:szCs w:val="32"/>
          <w:highlight w:val="none"/>
          <w:u w:val="none"/>
          <w:lang w:val="en-US" w:eastAsia="zh-CN"/>
        </w:rPr>
        <w:t>对基金管理机构的日常运作进行监督和考核，同意</w:t>
      </w:r>
      <w:r>
        <w:rPr>
          <w:rFonts w:hint="eastAsia" w:ascii="仿宋_GB2312" w:hAnsi="仿宋_GB2312" w:eastAsia="仿宋_GB2312" w:cs="仿宋_GB2312"/>
          <w:snapToGrid w:val="0"/>
          <w:kern w:val="0"/>
          <w:sz w:val="32"/>
          <w:szCs w:val="32"/>
          <w:highlight w:val="none"/>
          <w:u w:val="none"/>
        </w:rPr>
        <w:t>基金管理费与年度绩效考核结果挂钩</w:t>
      </w:r>
      <w:r>
        <w:rPr>
          <w:rFonts w:hint="eastAsia" w:ascii="仿宋_GB2312" w:hAnsi="仿宋_GB2312" w:eastAsia="仿宋_GB2312" w:cs="仿宋_GB2312"/>
          <w:snapToGrid w:val="0"/>
          <w:kern w:val="0"/>
          <w:sz w:val="32"/>
          <w:szCs w:val="32"/>
          <w:highlight w:val="none"/>
          <w:u w:val="none"/>
          <w:lang w:eastAsia="zh-CN"/>
        </w:rPr>
        <w:t>。</w:t>
      </w:r>
    </w:p>
    <w:p w14:paraId="316E757B">
      <w:pPr>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二、本公司/本企业为在中华人民共和国（不包括香港特别行政区、澳门特别行政区和台湾地区）依法设立并有效存续的有限责任公司、股份有限公司或合伙企业。</w:t>
      </w:r>
    </w:p>
    <w:p w14:paraId="6F2936B3">
      <w:pPr>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三、本公司/本企业相关人员提供的关于本公司/本企业、基金方案等全部资料和信息（包括但不限于基金管理</w:t>
      </w:r>
      <w:r>
        <w:rPr>
          <w:rFonts w:hint="eastAsia" w:ascii="仿宋_GB2312" w:hAnsi="仿宋_GB2312" w:eastAsia="仿宋_GB2312" w:cs="仿宋_GB2312"/>
          <w:sz w:val="32"/>
          <w:szCs w:val="32"/>
          <w:highlight w:val="none"/>
          <w:u w:val="none"/>
          <w:lang w:val="en-US" w:eastAsia="zh-CN"/>
        </w:rPr>
        <w:t>机构</w:t>
      </w:r>
      <w:r>
        <w:rPr>
          <w:rFonts w:hint="eastAsia" w:ascii="仿宋_GB2312" w:hAnsi="仿宋_GB2312" w:eastAsia="仿宋_GB2312" w:cs="仿宋_GB2312"/>
          <w:sz w:val="32"/>
          <w:szCs w:val="32"/>
          <w:highlight w:val="none"/>
          <w:u w:val="none"/>
        </w:rPr>
        <w:t>申请材料及有关陈述、保证、声明、确认等）均是真实、准确和完整的，不存在虚假记载、误导性陈述和重大遗漏，且该等全部资料和信息的复印件/电子件均与原件完全一致。</w:t>
      </w:r>
    </w:p>
    <w:p w14:paraId="7639D67C">
      <w:pPr>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四、本公司/本企业及相关人员最近三年未受到有权监管机构的重大处罚，且无重大事项正在接受司法部门、监管机构的立案调查。</w:t>
      </w:r>
    </w:p>
    <w:p w14:paraId="7DBE12D6">
      <w:pPr>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五、如上述说明和承诺情况存在任何虚假或隐瞒，本公司/本企业愿承担由此而产生的一切法律责任。同时，如贵司在基金设立后发现上述说明和承诺情况存在任何虚假或隐瞒，本公司/本企业愿承担由此而产生的包括但不限于以下法律责任：(</w:t>
      </w:r>
      <w:r>
        <w:rPr>
          <w:rFonts w:hint="default" w:ascii="Times New Roman" w:hAnsi="Times New Roman" w:eastAsia="仿宋_GB2312" w:cs="Times New Roman"/>
          <w:sz w:val="32"/>
          <w:szCs w:val="32"/>
          <w:highlight w:val="none"/>
          <w:u w:val="none"/>
        </w:rPr>
        <w:t>1</w:t>
      </w:r>
      <w:r>
        <w:rPr>
          <w:rFonts w:hint="eastAsia" w:ascii="仿宋_GB2312" w:hAnsi="仿宋_GB2312" w:eastAsia="仿宋_GB2312" w:cs="仿宋_GB2312"/>
          <w:sz w:val="32"/>
          <w:szCs w:val="32"/>
          <w:highlight w:val="none"/>
          <w:u w:val="none"/>
        </w:rPr>
        <w:t>)向基金承担相应责任并赔偿由此对基金造成的全部损失；(</w:t>
      </w:r>
      <w:r>
        <w:rPr>
          <w:rFonts w:hint="default" w:ascii="Times New Roman" w:hAnsi="Times New Roman" w:eastAsia="仿宋_GB2312" w:cs="Times New Roman"/>
          <w:sz w:val="32"/>
          <w:szCs w:val="32"/>
          <w:highlight w:val="none"/>
          <w:u w:val="none"/>
        </w:rPr>
        <w:t>2</w:t>
      </w:r>
      <w:r>
        <w:rPr>
          <w:rFonts w:hint="eastAsia" w:ascii="仿宋_GB2312" w:hAnsi="仿宋_GB2312" w:eastAsia="仿宋_GB2312" w:cs="仿宋_GB2312"/>
          <w:sz w:val="32"/>
          <w:szCs w:val="32"/>
          <w:highlight w:val="none"/>
          <w:u w:val="none"/>
        </w:rPr>
        <w:t>)依据基金《合伙协议》/《公司章程》/《委托管理协议》等规定承担相应的法律责任；(</w:t>
      </w:r>
      <w:r>
        <w:rPr>
          <w:rFonts w:hint="default" w:ascii="Times New Roman" w:hAnsi="Times New Roman" w:eastAsia="仿宋_GB2312" w:cs="Times New Roman"/>
          <w:sz w:val="32"/>
          <w:szCs w:val="32"/>
          <w:highlight w:val="none"/>
          <w:u w:val="none"/>
        </w:rPr>
        <w:t>3</w:t>
      </w:r>
      <w:r>
        <w:rPr>
          <w:rFonts w:hint="eastAsia" w:ascii="仿宋_GB2312" w:hAnsi="仿宋_GB2312" w:eastAsia="仿宋_GB2312" w:cs="仿宋_GB2312"/>
          <w:sz w:val="32"/>
          <w:szCs w:val="32"/>
          <w:highlight w:val="none"/>
          <w:u w:val="none"/>
        </w:rPr>
        <w:t>)承担其他与此相关的法律责任。</w:t>
      </w:r>
    </w:p>
    <w:p w14:paraId="3571769B">
      <w:pPr>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特此承诺！</w:t>
      </w:r>
    </w:p>
    <w:p w14:paraId="0432E3E2">
      <w:pPr>
        <w:adjustRightInd w:val="0"/>
        <w:snapToGrid w:val="0"/>
        <w:spacing w:line="580" w:lineRule="exact"/>
        <w:ind w:firstLine="640"/>
        <w:rPr>
          <w:rFonts w:ascii="仿宋_GB2312" w:hAnsi="仿宋_GB2312" w:eastAsia="仿宋_GB2312" w:cs="仿宋_GB2312"/>
          <w:sz w:val="32"/>
          <w:szCs w:val="32"/>
          <w:highlight w:val="none"/>
          <w:u w:val="none"/>
        </w:rPr>
      </w:pPr>
    </w:p>
    <w:p w14:paraId="3C7F1F0E">
      <w:pPr>
        <w:adjustRightInd w:val="0"/>
        <w:snapToGrid w:val="0"/>
        <w:spacing w:line="580" w:lineRule="exact"/>
        <w:ind w:firstLine="640"/>
        <w:rPr>
          <w:rFonts w:ascii="仿宋_GB2312" w:hAnsi="仿宋_GB2312" w:eastAsia="仿宋_GB2312" w:cs="仿宋_GB2312"/>
          <w:sz w:val="32"/>
          <w:szCs w:val="32"/>
          <w:highlight w:val="none"/>
          <w:u w:val="none"/>
        </w:rPr>
      </w:pPr>
    </w:p>
    <w:p w14:paraId="54268C88">
      <w:pPr>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 xml:space="preserve">承诺人：（公章、骑缝章）     </w:t>
      </w:r>
    </w:p>
    <w:p w14:paraId="09338099">
      <w:pPr>
        <w:adjustRightInd w:val="0"/>
        <w:snapToGrid w:val="0"/>
        <w:spacing w:line="580" w:lineRule="exact"/>
        <w:ind w:firstLine="640"/>
        <w:rPr>
          <w:rFonts w:ascii="仿宋_GB2312" w:hAnsi="仿宋_GB2312" w:eastAsia="仿宋_GB2312" w:cs="仿宋_GB2312"/>
          <w:sz w:val="32"/>
          <w:szCs w:val="32"/>
          <w:highlight w:val="none"/>
          <w:u w:val="none"/>
        </w:rPr>
      </w:pPr>
    </w:p>
    <w:p w14:paraId="01E3FD59">
      <w:pPr>
        <w:adjustRightInd w:val="0"/>
        <w:snapToGrid w:val="0"/>
        <w:spacing w:line="58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法定代表人/执行事务合伙人（签字）：</w:t>
      </w:r>
    </w:p>
    <w:p w14:paraId="27EEC9DA">
      <w:pPr>
        <w:adjustRightInd w:val="0"/>
        <w:snapToGrid w:val="0"/>
        <w:spacing w:line="580" w:lineRule="exact"/>
        <w:ind w:firstLine="640"/>
        <w:rPr>
          <w:rFonts w:ascii="仿宋_GB2312" w:hAnsi="仿宋_GB2312" w:eastAsia="仿宋_GB2312" w:cs="仿宋_GB2312"/>
          <w:sz w:val="32"/>
          <w:szCs w:val="32"/>
          <w:highlight w:val="none"/>
          <w:u w:val="none"/>
        </w:rPr>
      </w:pPr>
    </w:p>
    <w:p w14:paraId="0E30F8D9">
      <w:pPr>
        <w:adjustRightInd w:val="0"/>
        <w:snapToGrid w:val="0"/>
        <w:spacing w:line="580" w:lineRule="exact"/>
        <w:ind w:firstLine="640"/>
        <w:rPr>
          <w:rFonts w:ascii="仿宋_GB2312" w:hAnsi="仿宋_GB2312" w:eastAsia="仿宋_GB2312" w:cs="仿宋_GB2312"/>
          <w:sz w:val="32"/>
          <w:szCs w:val="32"/>
          <w:highlight w:val="none"/>
          <w:u w:val="none"/>
        </w:rPr>
      </w:pPr>
      <w:bookmarkStart w:id="42" w:name="_Toc32402_WPSOffice_Level1"/>
      <w:bookmarkStart w:id="43" w:name="_Toc21668_WPSOffice_Level1"/>
      <w:bookmarkStart w:id="44" w:name="_Toc4327_WPSOffice_Level1"/>
      <w:bookmarkStart w:id="45" w:name="_Toc23442_WPSOffice_Level1"/>
      <w:r>
        <w:rPr>
          <w:rFonts w:hint="eastAsia" w:ascii="仿宋_GB2312" w:hAnsi="仿宋_GB2312" w:eastAsia="仿宋_GB2312" w:cs="仿宋_GB2312"/>
          <w:sz w:val="32"/>
          <w:szCs w:val="32"/>
          <w:highlight w:val="none"/>
          <w:u w:val="none"/>
        </w:rPr>
        <w:t>日期：    年   月  日</w:t>
      </w:r>
      <w:bookmarkEnd w:id="42"/>
      <w:bookmarkEnd w:id="43"/>
      <w:bookmarkEnd w:id="44"/>
      <w:bookmarkEnd w:id="45"/>
    </w:p>
    <w:p w14:paraId="28F54B37">
      <w:pPr>
        <w:widowControl/>
        <w:jc w:val="left"/>
        <w:rPr>
          <w:highlight w:val="none"/>
          <w:u w:val="none"/>
        </w:rPr>
      </w:pPr>
      <w:r>
        <w:rPr>
          <w:highlight w:val="none"/>
          <w:u w:val="none"/>
        </w:rPr>
        <w:br w:type="page"/>
      </w:r>
    </w:p>
    <w:p w14:paraId="73D69DC0">
      <w:pPr>
        <w:rPr>
          <w:rFonts w:ascii="黑体" w:hAnsi="黑体" w:eastAsia="黑体" w:cs="黑体"/>
          <w:sz w:val="32"/>
          <w:szCs w:val="32"/>
          <w:highlight w:val="none"/>
          <w:u w:val="none"/>
        </w:rPr>
      </w:pPr>
      <w:r>
        <w:rPr>
          <w:rFonts w:hint="eastAsia" w:ascii="黑体" w:hAnsi="黑体" w:eastAsia="黑体" w:cs="黑体"/>
          <w:sz w:val="32"/>
          <w:szCs w:val="32"/>
          <w:highlight w:val="none"/>
          <w:u w:val="none"/>
        </w:rPr>
        <w:t>附件</w:t>
      </w:r>
      <w:r>
        <w:rPr>
          <w:rFonts w:hint="default" w:ascii="Times New Roman" w:hAnsi="Times New Roman" w:eastAsia="黑体" w:cs="Times New Roman"/>
          <w:sz w:val="32"/>
          <w:szCs w:val="32"/>
          <w:highlight w:val="none"/>
          <w:u w:val="none"/>
        </w:rPr>
        <w:t>5</w:t>
      </w:r>
      <w:bookmarkStart w:id="46" w:name="_Toc30179_WPSOffice_Level2"/>
      <w:bookmarkStart w:id="47" w:name="_Toc18516_WPSOffice_Level2"/>
      <w:bookmarkStart w:id="48" w:name="_Toc21664_WPSOffice_Level2"/>
      <w:bookmarkStart w:id="49" w:name="_Toc1740_WPSOffice_Level2"/>
    </w:p>
    <w:p w14:paraId="2D5A9E18">
      <w:pPr>
        <w:pStyle w:val="2"/>
        <w:adjustRightInd w:val="0"/>
        <w:snapToGrid w:val="0"/>
        <w:spacing w:before="0" w:after="0" w:line="680" w:lineRule="exact"/>
        <w:jc w:val="center"/>
        <w:rPr>
          <w:rFonts w:ascii="微软雅黑" w:hAnsi="微软雅黑" w:eastAsia="微软雅黑" w:cs="微软雅黑"/>
          <w:b w:val="0"/>
          <w:bCs w:val="0"/>
          <w:sz w:val="36"/>
          <w:szCs w:val="36"/>
          <w:highlight w:val="none"/>
          <w:u w:val="none"/>
        </w:rPr>
      </w:pPr>
    </w:p>
    <w:p w14:paraId="5FE9EB3D">
      <w:pPr>
        <w:pStyle w:val="2"/>
        <w:adjustRightInd w:val="0"/>
        <w:snapToGrid w:val="0"/>
        <w:spacing w:before="0" w:after="0" w:line="680" w:lineRule="exact"/>
        <w:jc w:val="center"/>
        <w:rPr>
          <w:rFonts w:ascii="方正小标宋简体" w:hAnsi="方正小标宋简体" w:eastAsia="方正小标宋简体" w:cs="方正小标宋简体"/>
          <w:b w:val="0"/>
          <w:bCs w:val="0"/>
          <w:sz w:val="36"/>
          <w:szCs w:val="36"/>
          <w:highlight w:val="none"/>
          <w:u w:val="none"/>
        </w:rPr>
      </w:pPr>
      <w:r>
        <w:rPr>
          <w:rFonts w:hint="eastAsia" w:ascii="方正小标宋简体" w:hAnsi="方正小标宋简体" w:eastAsia="方正小标宋简体" w:cs="方正小标宋简体"/>
          <w:b w:val="0"/>
          <w:bCs w:val="0"/>
          <w:sz w:val="36"/>
          <w:szCs w:val="36"/>
          <w:highlight w:val="none"/>
          <w:u w:val="none"/>
        </w:rPr>
        <w:t>廉洁承诺书</w:t>
      </w:r>
      <w:bookmarkEnd w:id="46"/>
      <w:bookmarkEnd w:id="47"/>
      <w:bookmarkEnd w:id="48"/>
      <w:bookmarkEnd w:id="49"/>
    </w:p>
    <w:p w14:paraId="06A8B219">
      <w:pPr>
        <w:adjustRightInd w:val="0"/>
        <w:snapToGrid w:val="0"/>
        <w:spacing w:line="680" w:lineRule="exact"/>
        <w:rPr>
          <w:highlight w:val="none"/>
          <w:u w:val="none"/>
        </w:rPr>
      </w:pPr>
    </w:p>
    <w:p w14:paraId="0F40FA7E">
      <w:pPr>
        <w:adjustRightInd w:val="0"/>
        <w:snapToGrid w:val="0"/>
        <w:spacing w:line="590" w:lineRule="exact"/>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高校科技成果转化基金遴选工作组:</w:t>
      </w:r>
    </w:p>
    <w:p w14:paraId="0F90B9CD">
      <w:pPr>
        <w:adjustRightInd w:val="0"/>
        <w:snapToGrid w:val="0"/>
        <w:spacing w:line="59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鉴于         基金管理有限公司有意申请担任高校科技成果转化基金管理</w:t>
      </w:r>
      <w:r>
        <w:rPr>
          <w:rFonts w:hint="eastAsia" w:ascii="仿宋_GB2312" w:hAnsi="仿宋_GB2312" w:eastAsia="仿宋_GB2312" w:cs="仿宋_GB2312"/>
          <w:sz w:val="32"/>
          <w:szCs w:val="32"/>
          <w:highlight w:val="none"/>
          <w:u w:val="none"/>
          <w:lang w:val="en-US" w:eastAsia="zh-CN"/>
        </w:rPr>
        <w:t>机构</w:t>
      </w:r>
      <w:r>
        <w:rPr>
          <w:rFonts w:hint="eastAsia" w:ascii="仿宋_GB2312" w:hAnsi="仿宋_GB2312" w:eastAsia="仿宋_GB2312" w:cs="仿宋_GB2312"/>
          <w:sz w:val="32"/>
          <w:szCs w:val="32"/>
          <w:highlight w:val="none"/>
          <w:u w:val="none"/>
        </w:rPr>
        <w:t>，承诺人同意诚信经营，严格遵守法律法规有关廉洁从业、禁止贿赂的有关规定，特向贵方承诺如下：</w:t>
      </w:r>
    </w:p>
    <w:p w14:paraId="376C6923">
      <w:pPr>
        <w:adjustRightInd w:val="0"/>
        <w:snapToGrid w:val="0"/>
        <w:spacing w:line="590" w:lineRule="exact"/>
        <w:ind w:firstLine="640"/>
        <w:rPr>
          <w:rFonts w:ascii="仿宋_GB2312" w:hAnsi="仿宋_GB2312" w:eastAsia="仿宋_GB2312" w:cs="仿宋_GB2312"/>
          <w:i/>
          <w:sz w:val="32"/>
          <w:szCs w:val="32"/>
          <w:highlight w:val="none"/>
          <w:u w:val="none"/>
        </w:rPr>
      </w:pPr>
      <w:r>
        <w:rPr>
          <w:rFonts w:hint="eastAsia" w:ascii="仿宋_GB2312" w:hAnsi="仿宋_GB2312" w:eastAsia="仿宋_GB2312" w:cs="仿宋_GB2312"/>
          <w:kern w:val="0"/>
          <w:sz w:val="32"/>
          <w:szCs w:val="32"/>
          <w:highlight w:val="none"/>
          <w:u w:val="none"/>
        </w:rPr>
        <w:t>一、</w:t>
      </w:r>
      <w:r>
        <w:rPr>
          <w:rFonts w:hint="eastAsia" w:ascii="仿宋_GB2312" w:hAnsi="仿宋_GB2312" w:eastAsia="仿宋_GB2312" w:cs="仿宋_GB2312"/>
          <w:sz w:val="32"/>
          <w:szCs w:val="32"/>
          <w:highlight w:val="none"/>
          <w:u w:val="none"/>
        </w:rPr>
        <w:t>承诺人</w:t>
      </w:r>
      <w:r>
        <w:rPr>
          <w:rFonts w:hint="eastAsia" w:ascii="仿宋_GB2312" w:hAnsi="仿宋_GB2312" w:eastAsia="仿宋_GB2312" w:cs="仿宋_GB2312"/>
          <w:kern w:val="0"/>
          <w:sz w:val="32"/>
          <w:szCs w:val="32"/>
          <w:highlight w:val="none"/>
          <w:u w:val="none"/>
        </w:rPr>
        <w:t>承诺</w:t>
      </w:r>
      <w:r>
        <w:rPr>
          <w:rFonts w:hint="eastAsia" w:ascii="仿宋_GB2312" w:hAnsi="仿宋_GB2312" w:eastAsia="仿宋_GB2312" w:cs="仿宋_GB2312"/>
          <w:sz w:val="32"/>
          <w:szCs w:val="32"/>
          <w:highlight w:val="none"/>
          <w:u w:val="none"/>
        </w:rPr>
        <w:t>严格遵守《刑法》、《关于禁止商业贿赂行为的暂行规定》等关于</w:t>
      </w:r>
      <w:r>
        <w:rPr>
          <w:rFonts w:hint="eastAsia" w:ascii="仿宋_GB2312" w:hAnsi="仿宋_GB2312" w:eastAsia="仿宋_GB2312" w:cs="仿宋_GB2312"/>
          <w:kern w:val="0"/>
          <w:sz w:val="32"/>
          <w:szCs w:val="32"/>
          <w:highlight w:val="none"/>
          <w:u w:val="none"/>
        </w:rPr>
        <w:t>廉洁从业、</w:t>
      </w:r>
      <w:r>
        <w:rPr>
          <w:rFonts w:hint="eastAsia" w:ascii="仿宋_GB2312" w:hAnsi="仿宋_GB2312" w:eastAsia="仿宋_GB2312" w:cs="仿宋_GB2312"/>
          <w:sz w:val="32"/>
          <w:szCs w:val="32"/>
          <w:highlight w:val="none"/>
          <w:u w:val="none"/>
        </w:rPr>
        <w:t>反对贿赂的有关法律法规和政策，知悉任何形式的贿赂都将触犯法律，违反该等法律法规和政策，都将受到相应法律制裁。</w:t>
      </w:r>
    </w:p>
    <w:p w14:paraId="5A518813">
      <w:pPr>
        <w:adjustRightInd w:val="0"/>
        <w:snapToGrid w:val="0"/>
        <w:spacing w:line="59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二、在贵方及贵方委托的其他相关机构对承诺人、该基金及该基金相关方进行投资尽职调查、投资决策、投资合同的洽谈、签订与履行以及投资款的支付、投后对基金的管理与退出等各个环节中，承诺人承诺不直接或间接向贵方员工行贿，包括但不限于：</w:t>
      </w:r>
    </w:p>
    <w:p w14:paraId="360C23B3">
      <w:pPr>
        <w:adjustRightInd w:val="0"/>
        <w:snapToGrid w:val="0"/>
        <w:spacing w:line="59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（一）不向贵方员工提供回扣、礼金、有价证券、支付凭证、贵重物品、旅游券等。</w:t>
      </w:r>
    </w:p>
    <w:p w14:paraId="5FC42F2C">
      <w:pPr>
        <w:adjustRightInd w:val="0"/>
        <w:snapToGrid w:val="0"/>
        <w:spacing w:line="59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（二）不为贵方员工报销应由贵方或贵方员工个人支付的费用。</w:t>
      </w:r>
    </w:p>
    <w:p w14:paraId="70020B72">
      <w:pPr>
        <w:adjustRightInd w:val="0"/>
        <w:snapToGrid w:val="0"/>
        <w:spacing w:line="59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（三）不为贵方员工投资入股、个人借款或买卖股票、债券等提供优惠或其他方便。</w:t>
      </w:r>
    </w:p>
    <w:p w14:paraId="78DE651A">
      <w:pPr>
        <w:adjustRightInd w:val="0"/>
        <w:snapToGrid w:val="0"/>
        <w:spacing w:line="59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（四）不为贵方员工购置或提供通讯工具、交通工具和高档办公用品。</w:t>
      </w:r>
    </w:p>
    <w:p w14:paraId="24B6462A">
      <w:pPr>
        <w:adjustRightInd w:val="0"/>
        <w:snapToGrid w:val="0"/>
        <w:spacing w:line="59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（五）不为贵方员工的配偶、子女及其他亲属谋取不正当利益提供方便。</w:t>
      </w:r>
    </w:p>
    <w:p w14:paraId="69D3EEB0">
      <w:pPr>
        <w:adjustRightInd w:val="0"/>
        <w:snapToGrid w:val="0"/>
        <w:spacing w:line="59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（六）不违反规定安排贵方员工在承诺人或承诺人所投资的其他企业兼职并领取兼职报酬。</w:t>
      </w:r>
    </w:p>
    <w:p w14:paraId="39AB817D">
      <w:pPr>
        <w:adjustRightInd w:val="0"/>
        <w:snapToGrid w:val="0"/>
        <w:spacing w:line="59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（七）违反法律法规和政策规定的其他不廉洁行为。</w:t>
      </w:r>
    </w:p>
    <w:p w14:paraId="4AB443E5">
      <w:pPr>
        <w:adjustRightInd w:val="0"/>
        <w:snapToGrid w:val="0"/>
        <w:spacing w:line="59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kern w:val="0"/>
          <w:sz w:val="32"/>
          <w:szCs w:val="32"/>
          <w:highlight w:val="none"/>
          <w:u w:val="none"/>
        </w:rPr>
        <w:t>三、</w:t>
      </w:r>
      <w:r>
        <w:rPr>
          <w:rFonts w:hint="eastAsia" w:ascii="仿宋_GB2312" w:hAnsi="仿宋_GB2312" w:eastAsia="仿宋_GB2312" w:cs="仿宋_GB2312"/>
          <w:sz w:val="32"/>
          <w:szCs w:val="32"/>
          <w:highlight w:val="none"/>
          <w:u w:val="none"/>
        </w:rPr>
        <w:t>如贵方项目团队成员及其他相关人员向承诺人索贿，承诺人承诺予以拒绝并及时向贵方投诉举报。承诺人已知悉贵方接受投诉举报的地址或信箱如下：</w:t>
      </w:r>
    </w:p>
    <w:p w14:paraId="5417F90C">
      <w:pPr>
        <w:adjustRightInd w:val="0"/>
        <w:snapToGrid w:val="0"/>
        <w:spacing w:line="59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收信地址：北京市海淀区中关村东路</w:t>
      </w:r>
      <w:r>
        <w:rPr>
          <w:rFonts w:hint="default" w:ascii="Times New Roman" w:hAnsi="Times New Roman" w:eastAsia="仿宋_GB2312" w:cs="Times New Roman"/>
          <w:sz w:val="32"/>
          <w:szCs w:val="32"/>
          <w:highlight w:val="none"/>
          <w:u w:val="none"/>
        </w:rPr>
        <w:t>1</w:t>
      </w:r>
      <w:r>
        <w:rPr>
          <w:rFonts w:hint="eastAsia" w:ascii="仿宋_GB2312" w:hAnsi="仿宋_GB2312" w:eastAsia="仿宋_GB2312" w:cs="仿宋_GB2312"/>
          <w:sz w:val="32"/>
          <w:szCs w:val="32"/>
          <w:highlight w:val="none"/>
          <w:u w:val="none"/>
        </w:rPr>
        <w:t>号院</w:t>
      </w:r>
      <w:r>
        <w:rPr>
          <w:rFonts w:hint="default" w:ascii="Times New Roman" w:hAnsi="Times New Roman" w:eastAsia="仿宋_GB2312" w:cs="Times New Roman"/>
          <w:sz w:val="32"/>
          <w:szCs w:val="32"/>
          <w:highlight w:val="none"/>
          <w:u w:val="none"/>
        </w:rPr>
        <w:t>8</w:t>
      </w:r>
      <w:r>
        <w:rPr>
          <w:rFonts w:hint="eastAsia" w:ascii="仿宋_GB2312" w:hAnsi="仿宋_GB2312" w:eastAsia="仿宋_GB2312" w:cs="仿宋_GB2312"/>
          <w:sz w:val="32"/>
          <w:szCs w:val="32"/>
          <w:highlight w:val="none"/>
          <w:u w:val="none"/>
        </w:rPr>
        <w:t>号清华科技园A座</w:t>
      </w:r>
      <w:r>
        <w:rPr>
          <w:rFonts w:hint="default" w:ascii="Times New Roman" w:hAnsi="Times New Roman" w:eastAsia="仿宋_GB2312" w:cs="Times New Roman"/>
          <w:sz w:val="32"/>
          <w:szCs w:val="32"/>
          <w:highlight w:val="none"/>
          <w:u w:val="none"/>
        </w:rPr>
        <w:t>25</w:t>
      </w:r>
      <w:r>
        <w:rPr>
          <w:rFonts w:hint="eastAsia" w:ascii="仿宋_GB2312" w:hAnsi="仿宋_GB2312" w:eastAsia="仿宋_GB2312" w:cs="仿宋_GB2312"/>
          <w:sz w:val="32"/>
          <w:szCs w:val="32"/>
          <w:highlight w:val="none"/>
          <w:u w:val="none"/>
        </w:rPr>
        <w:t>层</w:t>
      </w:r>
    </w:p>
    <w:p w14:paraId="3B0DFD1D">
      <w:pPr>
        <w:adjustRightInd w:val="0"/>
        <w:snapToGrid w:val="0"/>
        <w:spacing w:line="59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联系电话：</w:t>
      </w:r>
      <w:r>
        <w:rPr>
          <w:rFonts w:hint="default" w:ascii="Times New Roman" w:hAnsi="Times New Roman" w:eastAsia="仿宋_GB2312" w:cs="Times New Roman"/>
          <w:sz w:val="32"/>
          <w:szCs w:val="32"/>
          <w:highlight w:val="none"/>
          <w:u w:val="none"/>
        </w:rPr>
        <w:t>010</w:t>
      </w:r>
      <w:r>
        <w:rPr>
          <w:rFonts w:hint="eastAsia" w:ascii="仿宋_GB2312" w:hAnsi="仿宋_GB2312" w:eastAsia="仿宋_GB2312" w:cs="仿宋_GB2312"/>
          <w:sz w:val="32"/>
          <w:szCs w:val="32"/>
          <w:highlight w:val="none"/>
          <w:u w:val="none"/>
        </w:rPr>
        <w:t>-</w:t>
      </w:r>
      <w:r>
        <w:rPr>
          <w:rFonts w:hint="default" w:ascii="Times New Roman" w:hAnsi="Times New Roman" w:eastAsia="仿宋_GB2312" w:cs="Times New Roman"/>
          <w:sz w:val="32"/>
          <w:szCs w:val="32"/>
          <w:highlight w:val="none"/>
          <w:u w:val="none"/>
        </w:rPr>
        <w:t>82150956</w:t>
      </w:r>
    </w:p>
    <w:p w14:paraId="713F8E3E">
      <w:pPr>
        <w:adjustRightInd w:val="0"/>
        <w:snapToGrid w:val="0"/>
        <w:spacing w:line="59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电子邮箱：</w:t>
      </w:r>
      <w:r>
        <w:rPr>
          <w:highlight w:val="none"/>
          <w:u w:val="none"/>
        </w:rPr>
        <w:fldChar w:fldCharType="begin"/>
      </w:r>
      <w:r>
        <w:rPr>
          <w:highlight w:val="none"/>
          <w:u w:val="none"/>
        </w:rPr>
        <w:instrText xml:space="preserve"> HYPERLINK "mailto:qkjw@thholding.com.cn" </w:instrText>
      </w:r>
      <w:r>
        <w:rPr>
          <w:highlight w:val="none"/>
          <w:u w:val="none"/>
        </w:rPr>
        <w:fldChar w:fldCharType="separate"/>
      </w:r>
      <w:r>
        <w:rPr>
          <w:rStyle w:val="12"/>
          <w:rFonts w:hint="eastAsia" w:ascii="仿宋_GB2312" w:hAnsi="仿宋_GB2312" w:eastAsia="仿宋_GB2312" w:cs="仿宋_GB2312"/>
          <w:color w:val="auto"/>
          <w:sz w:val="32"/>
          <w:szCs w:val="32"/>
          <w:highlight w:val="none"/>
        </w:rPr>
        <w:t>qkjw@thholding.com.cn</w:t>
      </w:r>
      <w:r>
        <w:rPr>
          <w:rStyle w:val="12"/>
          <w:rFonts w:hint="eastAsia" w:ascii="仿宋_GB2312" w:hAnsi="仿宋_GB2312" w:eastAsia="仿宋_GB2312" w:cs="仿宋_GB2312"/>
          <w:color w:val="auto"/>
          <w:sz w:val="32"/>
          <w:szCs w:val="32"/>
          <w:highlight w:val="none"/>
        </w:rPr>
        <w:fldChar w:fldCharType="end"/>
      </w:r>
    </w:p>
    <w:p w14:paraId="77B31C34">
      <w:pPr>
        <w:adjustRightInd w:val="0"/>
        <w:snapToGrid w:val="0"/>
        <w:spacing w:line="59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邮    编：</w:t>
      </w:r>
      <w:r>
        <w:rPr>
          <w:rFonts w:hint="default" w:ascii="Times New Roman" w:hAnsi="Times New Roman" w:eastAsia="仿宋_GB2312" w:cs="Times New Roman"/>
          <w:sz w:val="32"/>
          <w:szCs w:val="32"/>
          <w:highlight w:val="none"/>
          <w:u w:val="none"/>
        </w:rPr>
        <w:t>100084</w:t>
      </w:r>
    </w:p>
    <w:p w14:paraId="69B381B1">
      <w:pPr>
        <w:adjustRightInd w:val="0"/>
        <w:snapToGrid w:val="0"/>
        <w:spacing w:line="59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四、在贵方对贵方员工涉嫌收受贿赂或索取贿赂等行为进行调查时，承诺人承诺积极配合贵方进行调查，积极提供相关证据或佐证。</w:t>
      </w:r>
    </w:p>
    <w:p w14:paraId="080973E0">
      <w:pPr>
        <w:adjustRightInd w:val="0"/>
        <w:snapToGrid w:val="0"/>
        <w:spacing w:line="59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五、若承诺人违反本承诺书，向贵方员工</w:t>
      </w:r>
      <w:r>
        <w:rPr>
          <w:rFonts w:hint="eastAsia" w:ascii="仿宋_GB2312" w:hAnsi="仿宋_GB2312" w:eastAsia="仿宋_GB2312" w:cs="仿宋_GB2312"/>
          <w:sz w:val="32"/>
          <w:szCs w:val="32"/>
          <w:highlight w:val="none"/>
          <w:u w:val="none"/>
          <w:lang w:val="en-US" w:eastAsia="zh-CN"/>
        </w:rPr>
        <w:t>或其关联方</w:t>
      </w:r>
      <w:r>
        <w:rPr>
          <w:rFonts w:hint="eastAsia" w:ascii="仿宋_GB2312" w:hAnsi="仿宋_GB2312" w:eastAsia="仿宋_GB2312" w:cs="仿宋_GB2312"/>
          <w:sz w:val="32"/>
          <w:szCs w:val="32"/>
          <w:highlight w:val="none"/>
          <w:u w:val="none"/>
        </w:rPr>
        <w:t>行贿，承诺人同意向各出资人按</w:t>
      </w:r>
      <w:r>
        <w:rPr>
          <w:rFonts w:hint="eastAsia" w:ascii="仿宋_GB2312" w:hAnsi="仿宋_GB2312" w:eastAsia="仿宋_GB2312" w:cs="仿宋_GB2312"/>
          <w:sz w:val="32"/>
          <w:szCs w:val="32"/>
          <w:highlight w:val="none"/>
          <w:u w:val="none"/>
          <w:lang w:val="en-US" w:eastAsia="zh-CN"/>
        </w:rPr>
        <w:t>其认缴</w:t>
      </w:r>
      <w:r>
        <w:rPr>
          <w:rFonts w:hint="eastAsia" w:ascii="仿宋_GB2312" w:hAnsi="仿宋_GB2312" w:eastAsia="仿宋_GB2312" w:cs="仿宋_GB2312"/>
          <w:sz w:val="32"/>
          <w:szCs w:val="32"/>
          <w:highlight w:val="none"/>
          <w:u w:val="none"/>
        </w:rPr>
        <w:t>出资金额</w:t>
      </w:r>
      <w:r>
        <w:rPr>
          <w:rFonts w:hint="eastAsia" w:ascii="仿宋_GB2312" w:hAnsi="仿宋_GB2312" w:eastAsia="仿宋_GB2312" w:cs="仿宋_GB2312"/>
          <w:sz w:val="32"/>
          <w:szCs w:val="32"/>
          <w:highlight w:val="none"/>
          <w:u w:val="none"/>
          <w:lang w:val="en-US" w:eastAsia="zh-CN"/>
        </w:rPr>
        <w:t>的</w:t>
      </w:r>
      <w:r>
        <w:rPr>
          <w:rFonts w:hint="default" w:ascii="Times New Roman" w:hAnsi="Times New Roman" w:eastAsia="仿宋_GB2312" w:cs="Times New Roman"/>
          <w:sz w:val="32"/>
          <w:szCs w:val="32"/>
          <w:highlight w:val="none"/>
          <w:u w:val="none"/>
        </w:rPr>
        <w:t>2</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sz w:val="32"/>
          <w:szCs w:val="32"/>
          <w:highlight w:val="none"/>
          <w:u w:val="none"/>
          <w:lang w:val="en-US" w:eastAsia="zh-CN"/>
        </w:rPr>
        <w:t>支付</w:t>
      </w:r>
      <w:r>
        <w:rPr>
          <w:rFonts w:hint="eastAsia" w:ascii="仿宋_GB2312" w:hAnsi="仿宋_GB2312" w:eastAsia="仿宋_GB2312" w:cs="仿宋_GB2312"/>
          <w:sz w:val="32"/>
          <w:szCs w:val="32"/>
          <w:highlight w:val="none"/>
          <w:u w:val="none"/>
        </w:rPr>
        <w:t>违约金，并赔偿</w:t>
      </w:r>
      <w:r>
        <w:rPr>
          <w:rFonts w:hint="eastAsia" w:ascii="仿宋_GB2312" w:hAnsi="仿宋_GB2312" w:eastAsia="仿宋_GB2312" w:cs="仿宋_GB2312"/>
          <w:sz w:val="32"/>
          <w:szCs w:val="32"/>
          <w:highlight w:val="none"/>
          <w:u w:val="none"/>
          <w:lang w:val="en-US" w:eastAsia="zh-CN"/>
        </w:rPr>
        <w:t>各出资人</w:t>
      </w:r>
      <w:r>
        <w:rPr>
          <w:rFonts w:hint="eastAsia" w:ascii="仿宋_GB2312" w:hAnsi="仿宋_GB2312" w:eastAsia="仿宋_GB2312" w:cs="仿宋_GB2312"/>
          <w:sz w:val="32"/>
          <w:szCs w:val="32"/>
          <w:highlight w:val="none"/>
          <w:u w:val="none"/>
        </w:rPr>
        <w:t>的一切经济损失。</w:t>
      </w:r>
    </w:p>
    <w:p w14:paraId="64198F7E">
      <w:pPr>
        <w:pStyle w:val="6"/>
        <w:adjustRightInd w:val="0"/>
        <w:snapToGrid w:val="0"/>
        <w:spacing w:after="0" w:line="590" w:lineRule="exact"/>
        <w:ind w:firstLine="640"/>
        <w:rPr>
          <w:rFonts w:ascii="仿宋_GB2312" w:hAnsi="仿宋_GB2312" w:eastAsia="仿宋_GB2312" w:cs="仿宋_GB2312"/>
          <w:sz w:val="32"/>
          <w:szCs w:val="32"/>
          <w:highlight w:val="none"/>
          <w:u w:val="none"/>
        </w:rPr>
      </w:pPr>
    </w:p>
    <w:p w14:paraId="50734A6C">
      <w:pPr>
        <w:adjustRightInd w:val="0"/>
        <w:snapToGrid w:val="0"/>
        <w:spacing w:line="59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承诺人：             (盖章)</w:t>
      </w:r>
    </w:p>
    <w:p w14:paraId="77440E7F">
      <w:pPr>
        <w:adjustRightInd w:val="0"/>
        <w:snapToGrid w:val="0"/>
        <w:spacing w:line="590" w:lineRule="exact"/>
        <w:ind w:firstLine="640"/>
        <w:rPr>
          <w:rFonts w:ascii="仿宋_GB2312" w:hAnsi="仿宋_GB2312" w:eastAsia="仿宋_GB2312" w:cs="仿宋_GB2312"/>
          <w:sz w:val="32"/>
          <w:szCs w:val="32"/>
          <w:highlight w:val="none"/>
          <w:u w:val="none"/>
        </w:rPr>
      </w:pPr>
    </w:p>
    <w:p w14:paraId="0A9CC469">
      <w:pPr>
        <w:adjustRightInd w:val="0"/>
        <w:snapToGrid w:val="0"/>
        <w:spacing w:line="59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法定代表人（签字）：</w:t>
      </w:r>
    </w:p>
    <w:p w14:paraId="0F275BC0">
      <w:pPr>
        <w:adjustRightInd w:val="0"/>
        <w:snapToGrid w:val="0"/>
        <w:spacing w:line="590" w:lineRule="exact"/>
        <w:ind w:firstLine="640"/>
        <w:rPr>
          <w:rFonts w:ascii="仿宋_GB2312" w:hAnsi="仿宋_GB2312" w:eastAsia="仿宋_GB2312" w:cs="仿宋_GB2312"/>
          <w:sz w:val="32"/>
          <w:szCs w:val="32"/>
          <w:highlight w:val="none"/>
          <w:u w:val="none"/>
        </w:rPr>
      </w:pPr>
    </w:p>
    <w:p w14:paraId="11F6760F">
      <w:pPr>
        <w:adjustRightInd w:val="0"/>
        <w:snapToGrid w:val="0"/>
        <w:spacing w:line="59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时间：    年  月  日</w:t>
      </w:r>
    </w:p>
    <w:p w14:paraId="42B85969">
      <w:pPr>
        <w:pStyle w:val="9"/>
        <w:spacing w:line="640" w:lineRule="exact"/>
        <w:ind w:firstLine="640"/>
        <w:rPr>
          <w:highlight w:val="none"/>
          <w:u w:val="none"/>
        </w:rPr>
      </w:pPr>
    </w:p>
    <w:p w14:paraId="45996D4C">
      <w:pPr>
        <w:spacing w:line="640" w:lineRule="exact"/>
        <w:rPr>
          <w:highlight w:val="none"/>
          <w:u w:val="none"/>
        </w:rPr>
      </w:pPr>
      <w:r>
        <w:rPr>
          <w:highlight w:val="none"/>
          <w:u w:val="none"/>
        </w:rPr>
        <w:br w:type="page"/>
      </w:r>
    </w:p>
    <w:p w14:paraId="736440DD">
      <w:pPr>
        <w:rPr>
          <w:rFonts w:ascii="黑体" w:hAnsi="黑体" w:eastAsia="黑体" w:cs="黑体"/>
          <w:sz w:val="32"/>
          <w:szCs w:val="32"/>
          <w:highlight w:val="none"/>
          <w:u w:val="none"/>
        </w:rPr>
      </w:pPr>
      <w:r>
        <w:rPr>
          <w:rFonts w:hint="eastAsia" w:ascii="黑体" w:hAnsi="黑体" w:eastAsia="黑体" w:cs="黑体"/>
          <w:sz w:val="32"/>
          <w:szCs w:val="32"/>
          <w:highlight w:val="none"/>
          <w:u w:val="none"/>
        </w:rPr>
        <w:t>附件</w:t>
      </w:r>
      <w:r>
        <w:rPr>
          <w:rFonts w:hint="default" w:ascii="Times New Roman" w:hAnsi="Times New Roman" w:eastAsia="黑体" w:cs="Times New Roman"/>
          <w:sz w:val="32"/>
          <w:szCs w:val="32"/>
          <w:highlight w:val="none"/>
          <w:u w:val="none"/>
        </w:rPr>
        <w:t>6</w:t>
      </w:r>
    </w:p>
    <w:p w14:paraId="692B096D">
      <w:pPr>
        <w:rPr>
          <w:rFonts w:ascii="黑体" w:hAnsi="黑体" w:eastAsia="黑体" w:cs="黑体"/>
          <w:sz w:val="32"/>
          <w:szCs w:val="32"/>
          <w:highlight w:val="none"/>
          <w:u w:val="none"/>
        </w:rPr>
      </w:pPr>
    </w:p>
    <w:p w14:paraId="5453D096">
      <w:pPr>
        <w:adjustRightInd w:val="0"/>
        <w:snapToGrid w:val="0"/>
        <w:spacing w:line="680" w:lineRule="exact"/>
        <w:jc w:val="center"/>
        <w:rPr>
          <w:rFonts w:ascii="Times New Roman" w:hAnsi="Times New Roman" w:eastAsia="方正小标宋_GBK" w:cs="方正小标宋简体"/>
          <w:color w:val="000000"/>
          <w:spacing w:val="4"/>
          <w:sz w:val="36"/>
          <w:szCs w:val="36"/>
          <w:highlight w:val="none"/>
          <w:u w:val="none"/>
        </w:rPr>
      </w:pPr>
      <w:r>
        <w:rPr>
          <w:rFonts w:hint="eastAsia" w:ascii="Times New Roman" w:hAnsi="Times New Roman" w:eastAsia="方正小标宋_GBK" w:cs="方正小标宋简体"/>
          <w:color w:val="000000"/>
          <w:spacing w:val="4"/>
          <w:sz w:val="36"/>
          <w:szCs w:val="36"/>
          <w:highlight w:val="none"/>
          <w:u w:val="none"/>
        </w:rPr>
        <w:t>募资承诺书</w:t>
      </w:r>
    </w:p>
    <w:p w14:paraId="4D7BEFB2">
      <w:pPr>
        <w:pStyle w:val="3"/>
        <w:adjustRightInd w:val="0"/>
        <w:snapToGrid w:val="0"/>
        <w:spacing w:line="680" w:lineRule="exact"/>
        <w:rPr>
          <w:highlight w:val="none"/>
          <w:u w:val="none"/>
        </w:rPr>
      </w:pPr>
    </w:p>
    <w:p w14:paraId="12A124F6">
      <w:pPr>
        <w:adjustRightInd w:val="0"/>
        <w:snapToGrid w:val="0"/>
        <w:spacing w:line="650" w:lineRule="exact"/>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本单位已了解本基金的募资要求，本单位自愿依法合规为本基金进行市场化募资，承诺募资金额不低于人民币【      】万元。本单位作出如下声明及保证：</w:t>
      </w:r>
    </w:p>
    <w:p w14:paraId="21351C98">
      <w:pPr>
        <w:numPr>
          <w:ilvl w:val="0"/>
          <w:numId w:val="2"/>
        </w:numPr>
        <w:adjustRightInd w:val="0"/>
        <w:snapToGrid w:val="0"/>
        <w:spacing w:line="650" w:lineRule="exact"/>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如遴选中标，本单位将在</w:t>
      </w:r>
      <w:r>
        <w:rPr>
          <w:rFonts w:hint="default" w:ascii="Times New Roman" w:hAnsi="Times New Roman" w:eastAsia="仿宋_GB2312" w:cs="Times New Roman"/>
          <w:sz w:val="32"/>
          <w:szCs w:val="32"/>
          <w:highlight w:val="none"/>
          <w:u w:val="none"/>
          <w:lang w:eastAsia="zh-CN"/>
        </w:rPr>
        <w:t>2</w:t>
      </w:r>
      <w:r>
        <w:rPr>
          <w:rFonts w:hint="default" w:ascii="Times New Roman" w:hAnsi="Times New Roman" w:eastAsia="仿宋_GB2312" w:cs="Times New Roman"/>
          <w:sz w:val="32"/>
          <w:szCs w:val="32"/>
          <w:highlight w:val="none"/>
          <w:u w:val="none"/>
          <w:lang w:val="en-US" w:eastAsia="zh-CN"/>
        </w:rPr>
        <w:t>024</w:t>
      </w:r>
      <w:r>
        <w:rPr>
          <w:rFonts w:hint="eastAsia" w:ascii="仿宋_GB2312" w:hAnsi="仿宋_GB2312" w:eastAsia="仿宋_GB2312" w:cs="仿宋_GB2312"/>
          <w:sz w:val="32"/>
          <w:szCs w:val="32"/>
          <w:highlight w:val="none"/>
          <w:u w:val="none"/>
          <w:lang w:val="en-US" w:eastAsia="zh-CN"/>
        </w:rPr>
        <w:t>年</w:t>
      </w:r>
      <w:r>
        <w:rPr>
          <w:rFonts w:hint="default" w:ascii="Times New Roman" w:hAnsi="Times New Roman" w:eastAsia="仿宋_GB2312" w:cs="Times New Roman"/>
          <w:sz w:val="32"/>
          <w:szCs w:val="32"/>
          <w:highlight w:val="none"/>
          <w:u w:val="none"/>
          <w:lang w:val="en-US" w:eastAsia="zh-CN"/>
        </w:rPr>
        <w:t>12</w:t>
      </w:r>
      <w:r>
        <w:rPr>
          <w:rFonts w:hint="eastAsia" w:ascii="仿宋_GB2312" w:hAnsi="仿宋_GB2312" w:eastAsia="仿宋_GB2312" w:cs="仿宋_GB2312"/>
          <w:sz w:val="32"/>
          <w:szCs w:val="32"/>
          <w:highlight w:val="none"/>
          <w:u w:val="none"/>
          <w:lang w:val="en-US" w:eastAsia="zh-CN"/>
        </w:rPr>
        <w:t>月底前</w:t>
      </w:r>
      <w:r>
        <w:rPr>
          <w:rFonts w:hint="eastAsia" w:ascii="仿宋_GB2312" w:hAnsi="仿宋_GB2312" w:eastAsia="仿宋_GB2312" w:cs="仿宋_GB2312"/>
          <w:sz w:val="32"/>
          <w:szCs w:val="32"/>
          <w:highlight w:val="none"/>
          <w:u w:val="none"/>
        </w:rPr>
        <w:t>完成募资并由所募集基金投资人签署加入本基金各项法律文件（包括但不限于合伙协议），在此期间募资承诺不可撤销。</w:t>
      </w:r>
    </w:p>
    <w:p w14:paraId="45A4BB06">
      <w:pPr>
        <w:numPr>
          <w:ilvl w:val="-1"/>
          <w:numId w:val="0"/>
        </w:numPr>
        <w:adjustRightInd w:val="0"/>
        <w:snapToGrid w:val="0"/>
        <w:spacing w:line="650" w:lineRule="exact"/>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lang w:val="en-US" w:eastAsia="zh-CN"/>
        </w:rPr>
        <w:t>二、</w:t>
      </w:r>
      <w:r>
        <w:rPr>
          <w:rFonts w:hint="eastAsia" w:ascii="仿宋_GB2312" w:hAnsi="仿宋_GB2312" w:eastAsia="仿宋_GB2312" w:cs="仿宋_GB2312"/>
          <w:sz w:val="32"/>
          <w:szCs w:val="32"/>
          <w:highlight w:val="none"/>
          <w:u w:val="none"/>
        </w:rPr>
        <w:t>本单位确认将事前审查所募集基金投资人具备覆盖认缴出资额的出资能力，投入资金为其自有资金且来源合法，提供的出资证明材料真实有效。</w:t>
      </w:r>
    </w:p>
    <w:p w14:paraId="2A5D70D2">
      <w:pPr>
        <w:numPr>
          <w:ilvl w:val="-1"/>
          <w:numId w:val="0"/>
        </w:numPr>
        <w:adjustRightInd w:val="0"/>
        <w:snapToGrid w:val="0"/>
        <w:spacing w:line="650" w:lineRule="exact"/>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lang w:val="en-US" w:eastAsia="zh-CN"/>
        </w:rPr>
        <w:t>三、</w:t>
      </w:r>
      <w:r>
        <w:rPr>
          <w:rFonts w:hint="eastAsia" w:ascii="仿宋_GB2312" w:hAnsi="仿宋_GB2312" w:eastAsia="仿宋_GB2312" w:cs="仿宋_GB2312"/>
          <w:sz w:val="32"/>
          <w:szCs w:val="32"/>
          <w:highlight w:val="none"/>
          <w:u w:val="none"/>
        </w:rPr>
        <w:t>本单位确认所募集基金投资人具备本基金出资人的资格条件，符合中国法律法规及行业主管部门要求，并确认就本次认缴已获得必要授权和批准。</w:t>
      </w:r>
    </w:p>
    <w:p w14:paraId="7F8E2790">
      <w:pPr>
        <w:adjustRightInd w:val="0"/>
        <w:snapToGrid w:val="0"/>
        <w:spacing w:line="650" w:lineRule="exact"/>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如所承诺募资未按本承诺书约定时间完成，我方同意以还未完成的募资承诺金额为基数，按每日万分之</w:t>
      </w:r>
      <w:r>
        <w:rPr>
          <w:rFonts w:hint="eastAsia" w:ascii="仿宋_GB2312" w:hAnsi="仿宋_GB2312" w:eastAsia="仿宋_GB2312" w:cs="仿宋_GB2312"/>
          <w:sz w:val="32"/>
          <w:szCs w:val="32"/>
          <w:highlight w:val="none"/>
          <w:u w:val="none"/>
          <w:lang w:val="en-US" w:eastAsia="zh-CN"/>
        </w:rPr>
        <w:t>五</w:t>
      </w:r>
      <w:r>
        <w:rPr>
          <w:rFonts w:hint="eastAsia" w:ascii="仿宋_GB2312" w:hAnsi="仿宋_GB2312" w:eastAsia="仿宋_GB2312" w:cs="仿宋_GB2312"/>
          <w:sz w:val="32"/>
          <w:szCs w:val="32"/>
          <w:highlight w:val="none"/>
          <w:u w:val="none"/>
        </w:rPr>
        <w:t>的比例承担赔偿责任（可扣减基金管理费）。同时，本单位愿意承担因违反上述承诺所带来的一切后果及相关法律责任。</w:t>
      </w:r>
    </w:p>
    <w:p w14:paraId="7796E419">
      <w:pPr>
        <w:widowControl/>
        <w:adjustRightInd w:val="0"/>
        <w:snapToGrid w:val="0"/>
        <w:spacing w:line="650" w:lineRule="exact"/>
        <w:jc w:val="left"/>
        <w:rPr>
          <w:rFonts w:ascii="仿宋_GB2312" w:hAnsi="仿宋_GB2312" w:eastAsia="仿宋_GB2312" w:cs="仿宋_GB2312"/>
          <w:sz w:val="32"/>
          <w:szCs w:val="32"/>
          <w:highlight w:val="none"/>
          <w:u w:val="none"/>
        </w:rPr>
      </w:pPr>
    </w:p>
    <w:p w14:paraId="6C46BF7D">
      <w:pPr>
        <w:adjustRightInd w:val="0"/>
        <w:snapToGrid w:val="0"/>
        <w:spacing w:line="650" w:lineRule="exact"/>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承诺人：        （公章）</w:t>
      </w:r>
    </w:p>
    <w:p w14:paraId="43A7CD43">
      <w:pPr>
        <w:adjustRightInd w:val="0"/>
        <w:snapToGrid w:val="0"/>
        <w:spacing w:line="650" w:lineRule="exact"/>
        <w:ind w:firstLine="640" w:firstLineChars="200"/>
        <w:rPr>
          <w:rFonts w:ascii="仿宋_GB2312" w:hAnsi="仿宋_GB2312" w:eastAsia="仿宋_GB2312" w:cs="仿宋_GB2312"/>
          <w:sz w:val="32"/>
          <w:szCs w:val="32"/>
          <w:highlight w:val="none"/>
          <w:u w:val="none"/>
        </w:rPr>
      </w:pPr>
    </w:p>
    <w:p w14:paraId="765AB0ED">
      <w:pPr>
        <w:adjustRightInd w:val="0"/>
        <w:snapToGrid w:val="0"/>
        <w:spacing w:line="650" w:lineRule="exact"/>
        <w:ind w:left="714" w:leftChars="304" w:hanging="76" w:hangingChars="24"/>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法定代表人（或执行事务合伙人委派代表或其授权代表）：（签字）</w:t>
      </w:r>
    </w:p>
    <w:p w14:paraId="0C551CDF">
      <w:pPr>
        <w:adjustRightInd w:val="0"/>
        <w:snapToGrid w:val="0"/>
        <w:spacing w:line="650" w:lineRule="exact"/>
        <w:ind w:firstLine="320" w:firstLineChars="100"/>
        <w:rPr>
          <w:rFonts w:ascii="仿宋_GB2312" w:hAnsi="仿宋_GB2312" w:eastAsia="仿宋_GB2312" w:cs="仿宋_GB2312"/>
          <w:sz w:val="32"/>
          <w:szCs w:val="32"/>
          <w:highlight w:val="none"/>
          <w:u w:val="none"/>
        </w:rPr>
      </w:pPr>
    </w:p>
    <w:p w14:paraId="052D4473">
      <w:pPr>
        <w:adjustRightInd w:val="0"/>
        <w:snapToGrid w:val="0"/>
        <w:spacing w:line="650" w:lineRule="exact"/>
        <w:ind w:firstLine="320" w:firstLineChars="100"/>
        <w:rPr>
          <w:rFonts w:ascii="仿宋_GB2312" w:hAnsi="仿宋_GB2312" w:eastAsia="仿宋_GB2312" w:cs="仿宋_GB2312"/>
          <w:sz w:val="32"/>
          <w:szCs w:val="32"/>
          <w:highlight w:val="none"/>
          <w:u w:val="none"/>
        </w:rPr>
      </w:pPr>
    </w:p>
    <w:p w14:paraId="7ACEA517">
      <w:pPr>
        <w:adjustRightInd w:val="0"/>
        <w:snapToGrid w:val="0"/>
        <w:spacing w:line="650" w:lineRule="exact"/>
        <w:ind w:firstLine="640" w:firstLineChars="20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日期： 年 月 日</w:t>
      </w:r>
    </w:p>
    <w:p w14:paraId="1BA3B97C">
      <w:pPr>
        <w:adjustRightInd w:val="0"/>
        <w:snapToGrid w:val="0"/>
        <w:spacing w:line="650" w:lineRule="exact"/>
        <w:ind w:firstLine="640" w:firstLineChars="200"/>
        <w:rPr>
          <w:rFonts w:ascii="仿宋_GB2312" w:hAnsi="仿宋_GB2312" w:eastAsia="仿宋_GB2312" w:cs="仿宋_GB2312"/>
          <w:sz w:val="32"/>
          <w:szCs w:val="32"/>
          <w:highlight w:val="none"/>
          <w:u w:val="none"/>
        </w:rPr>
      </w:pPr>
    </w:p>
    <w:p w14:paraId="3B7EBAA4">
      <w:pPr>
        <w:widowControl/>
        <w:adjustRightInd w:val="0"/>
        <w:snapToGrid w:val="0"/>
        <w:spacing w:line="650" w:lineRule="exact"/>
        <w:ind w:firstLine="656" w:firstLineChars="200"/>
        <w:jc w:val="left"/>
        <w:rPr>
          <w:rFonts w:ascii="仿宋_GB2312" w:hAnsi="仿宋_GB2312" w:eastAsia="仿宋_GB2312" w:cs="仿宋_GB2312"/>
          <w:kern w:val="0"/>
          <w:sz w:val="32"/>
          <w:szCs w:val="32"/>
          <w:highlight w:val="none"/>
          <w:u w:val="none"/>
        </w:rPr>
      </w:pPr>
      <w:r>
        <w:rPr>
          <w:rFonts w:hint="eastAsia" w:ascii="仿宋_GB2312" w:hAnsi="仿宋_GB2312" w:eastAsia="仿宋_GB2312" w:cs="仿宋_GB2312"/>
          <w:color w:val="000000"/>
          <w:spacing w:val="4"/>
          <w:sz w:val="32"/>
          <w:szCs w:val="32"/>
          <w:highlight w:val="none"/>
          <w:u w:val="none"/>
        </w:rPr>
        <w:t>注：如有多个主体，须按此模板分别提供承诺书。</w:t>
      </w:r>
    </w:p>
    <w:p w14:paraId="175BA18F">
      <w:pPr>
        <w:adjustRightInd w:val="0"/>
        <w:snapToGrid w:val="0"/>
        <w:spacing w:line="650" w:lineRule="exact"/>
        <w:rPr>
          <w:rFonts w:ascii="黑体" w:hAnsi="黑体" w:eastAsia="黑体" w:cs="黑体"/>
          <w:sz w:val="32"/>
          <w:szCs w:val="32"/>
          <w:highlight w:val="none"/>
          <w:u w:val="none"/>
        </w:rPr>
      </w:pPr>
    </w:p>
    <w:p w14:paraId="5BA84EA7">
      <w:pPr>
        <w:rPr>
          <w:rFonts w:ascii="黑体" w:hAnsi="黑体" w:eastAsia="黑体" w:cs="黑体"/>
          <w:sz w:val="32"/>
          <w:szCs w:val="32"/>
          <w:highlight w:val="none"/>
          <w:u w:val="none"/>
        </w:rPr>
      </w:pPr>
    </w:p>
    <w:p w14:paraId="1096F688">
      <w:pPr>
        <w:rPr>
          <w:rFonts w:ascii="黑体" w:hAnsi="黑体" w:eastAsia="黑体" w:cs="黑体"/>
          <w:sz w:val="32"/>
          <w:szCs w:val="32"/>
          <w:highlight w:val="none"/>
          <w:u w:val="none"/>
        </w:rPr>
      </w:pPr>
    </w:p>
    <w:p w14:paraId="6A2648F5">
      <w:pPr>
        <w:rPr>
          <w:rFonts w:ascii="黑体" w:hAnsi="黑体" w:eastAsia="黑体" w:cs="黑体"/>
          <w:sz w:val="32"/>
          <w:szCs w:val="32"/>
          <w:highlight w:val="none"/>
          <w:u w:val="none"/>
        </w:rPr>
      </w:pPr>
    </w:p>
    <w:p w14:paraId="21C5D3EA">
      <w:pPr>
        <w:rPr>
          <w:rFonts w:ascii="黑体" w:hAnsi="黑体" w:eastAsia="黑体" w:cs="黑体"/>
          <w:sz w:val="32"/>
          <w:szCs w:val="32"/>
          <w:highlight w:val="none"/>
          <w:u w:val="none"/>
        </w:rPr>
      </w:pPr>
    </w:p>
    <w:p w14:paraId="13A3FD98">
      <w:pPr>
        <w:rPr>
          <w:rFonts w:ascii="黑体" w:hAnsi="黑体" w:eastAsia="黑体" w:cs="黑体"/>
          <w:sz w:val="32"/>
          <w:szCs w:val="32"/>
          <w:highlight w:val="none"/>
          <w:u w:val="none"/>
        </w:rPr>
      </w:pPr>
    </w:p>
    <w:p w14:paraId="17F62F8F">
      <w:pPr>
        <w:rPr>
          <w:rFonts w:ascii="黑体" w:hAnsi="黑体" w:eastAsia="黑体" w:cs="黑体"/>
          <w:sz w:val="32"/>
          <w:szCs w:val="32"/>
          <w:highlight w:val="none"/>
          <w:u w:val="none"/>
        </w:rPr>
      </w:pPr>
    </w:p>
    <w:p w14:paraId="7B100545">
      <w:pPr>
        <w:rPr>
          <w:rFonts w:ascii="黑体" w:hAnsi="黑体" w:eastAsia="黑体" w:cs="黑体"/>
          <w:sz w:val="32"/>
          <w:szCs w:val="32"/>
          <w:highlight w:val="none"/>
          <w:u w:val="none"/>
        </w:rPr>
      </w:pPr>
    </w:p>
    <w:p w14:paraId="0839194B">
      <w:pPr>
        <w:rPr>
          <w:rFonts w:ascii="黑体" w:hAnsi="黑体" w:eastAsia="黑体" w:cs="黑体"/>
          <w:sz w:val="32"/>
          <w:szCs w:val="32"/>
          <w:highlight w:val="none"/>
          <w:u w:val="none"/>
        </w:rPr>
      </w:pPr>
    </w:p>
    <w:p w14:paraId="60F48FF0">
      <w:pPr>
        <w:rPr>
          <w:rFonts w:ascii="黑体" w:hAnsi="黑体" w:eastAsia="黑体" w:cs="黑体"/>
          <w:sz w:val="32"/>
          <w:szCs w:val="32"/>
          <w:highlight w:val="none"/>
          <w:u w:val="none"/>
        </w:rPr>
      </w:pPr>
      <w:r>
        <w:rPr>
          <w:rFonts w:hint="eastAsia" w:ascii="黑体" w:hAnsi="黑体" w:eastAsia="黑体" w:cs="黑体"/>
          <w:sz w:val="32"/>
          <w:szCs w:val="32"/>
          <w:highlight w:val="none"/>
          <w:u w:val="none"/>
        </w:rPr>
        <w:t>附件</w:t>
      </w:r>
      <w:r>
        <w:rPr>
          <w:rFonts w:hint="default" w:ascii="Times New Roman" w:hAnsi="Times New Roman" w:eastAsia="黑体" w:cs="Times New Roman"/>
          <w:sz w:val="32"/>
          <w:szCs w:val="32"/>
          <w:highlight w:val="none"/>
          <w:u w:val="none"/>
        </w:rPr>
        <w:t>7</w:t>
      </w:r>
    </w:p>
    <w:p w14:paraId="704E8B17">
      <w:pPr>
        <w:pStyle w:val="2"/>
        <w:adjustRightInd w:val="0"/>
        <w:snapToGrid w:val="0"/>
        <w:spacing w:before="0" w:after="0" w:line="680" w:lineRule="exact"/>
        <w:jc w:val="center"/>
        <w:rPr>
          <w:rFonts w:ascii="方正小标宋简体" w:hAnsi="方正小标宋简体" w:eastAsia="方正小标宋简体" w:cs="方正小标宋简体"/>
          <w:b w:val="0"/>
          <w:bCs w:val="0"/>
          <w:sz w:val="36"/>
          <w:szCs w:val="36"/>
          <w:highlight w:val="none"/>
          <w:u w:val="none"/>
        </w:rPr>
      </w:pPr>
      <w:r>
        <w:rPr>
          <w:rFonts w:hint="eastAsia" w:ascii="方正小标宋简体" w:hAnsi="方正小标宋简体" w:eastAsia="方正小标宋简体" w:cs="方正小标宋简体"/>
          <w:b w:val="0"/>
          <w:bCs w:val="0"/>
          <w:sz w:val="36"/>
          <w:szCs w:val="36"/>
          <w:highlight w:val="none"/>
          <w:u w:val="none"/>
        </w:rPr>
        <w:t>法定代表人授权书</w:t>
      </w:r>
    </w:p>
    <w:p w14:paraId="38047CC8">
      <w:pPr>
        <w:adjustRightInd w:val="0"/>
        <w:snapToGrid w:val="0"/>
        <w:spacing w:line="680" w:lineRule="exact"/>
        <w:rPr>
          <w:highlight w:val="none"/>
          <w:u w:val="none"/>
        </w:rPr>
      </w:pPr>
    </w:p>
    <w:p w14:paraId="6DD31213">
      <w:pPr>
        <w:spacing w:line="54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本授权书声明：              （法定代表人姓名、职务）为                 （单位名称）法定代表人，经单位内部合法程序，兹授权                （授权委托代理人的姓名、职务）（身份证号码：                ）为         （单位名称）的授权委托代理人，可代表本单位针对            （项目名称）（以下简称“本项目”），以本单位名义签署或处理与本项目遴选相关的事务。     （授权委托代理人的姓名）在上述授权范围内的一切行为均代表本单位，本单位承担授权委托代理人行为的全部法律后果。本授权书有效期自    年    月    日</w:t>
      </w:r>
    </w:p>
    <w:p w14:paraId="19AA9B0E">
      <w:pPr>
        <w:spacing w:line="540" w:lineRule="exact"/>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到    年    月    日。授权委托代理人无转委托权。</w:t>
      </w:r>
    </w:p>
    <w:p w14:paraId="308F8567">
      <w:pPr>
        <w:spacing w:line="54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法定代表人身份证复印件（加盖公章）、授权委托代理人身份证复印件（加盖公章）。</w:t>
      </w:r>
    </w:p>
    <w:p w14:paraId="7640CA53">
      <w:pPr>
        <w:spacing w:line="540" w:lineRule="exact"/>
        <w:rPr>
          <w:highlight w:val="none"/>
          <w:u w:val="none"/>
        </w:rPr>
      </w:pPr>
    </w:p>
    <w:p w14:paraId="7FD45628">
      <w:pPr>
        <w:spacing w:line="54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申报单位：</w:t>
      </w:r>
      <w:r>
        <w:rPr>
          <w:rFonts w:hint="eastAsia" w:ascii="仿宋_GB2312" w:hAnsi="仿宋_GB2312" w:eastAsia="仿宋_GB2312" w:cs="仿宋_GB2312"/>
          <w:sz w:val="32"/>
          <w:szCs w:val="32"/>
          <w:highlight w:val="none"/>
          <w:u w:val="none"/>
        </w:rPr>
        <w:tab/>
      </w:r>
      <w:r>
        <w:rPr>
          <w:rFonts w:hint="eastAsia" w:ascii="仿宋_GB2312" w:hAnsi="仿宋_GB2312" w:eastAsia="仿宋_GB2312" w:cs="仿宋_GB2312"/>
          <w:sz w:val="32"/>
          <w:szCs w:val="32"/>
          <w:highlight w:val="none"/>
          <w:u w:val="none"/>
        </w:rPr>
        <w:tab/>
      </w:r>
      <w:r>
        <w:rPr>
          <w:rFonts w:hint="eastAsia" w:ascii="仿宋_GB2312" w:hAnsi="仿宋_GB2312" w:eastAsia="仿宋_GB2312" w:cs="仿宋_GB2312"/>
          <w:sz w:val="32"/>
          <w:szCs w:val="32"/>
          <w:highlight w:val="none"/>
          <w:u w:val="none"/>
        </w:rPr>
        <w:tab/>
      </w:r>
      <w:r>
        <w:rPr>
          <w:rFonts w:hint="eastAsia" w:ascii="仿宋_GB2312" w:hAnsi="仿宋_GB2312" w:eastAsia="仿宋_GB2312" w:cs="仿宋_GB2312"/>
          <w:sz w:val="32"/>
          <w:szCs w:val="32"/>
          <w:highlight w:val="none"/>
          <w:u w:val="none"/>
        </w:rPr>
        <w:tab/>
      </w:r>
      <w:r>
        <w:rPr>
          <w:rFonts w:hint="eastAsia" w:ascii="仿宋_GB2312" w:hAnsi="仿宋_GB2312" w:eastAsia="仿宋_GB2312" w:cs="仿宋_GB2312"/>
          <w:sz w:val="32"/>
          <w:szCs w:val="32"/>
          <w:highlight w:val="none"/>
          <w:u w:val="none"/>
        </w:rPr>
        <w:t xml:space="preserve">     </w:t>
      </w:r>
      <w:r>
        <w:rPr>
          <w:rFonts w:hint="eastAsia" w:ascii="仿宋_GB2312" w:hAnsi="仿宋_GB2312" w:eastAsia="仿宋_GB2312" w:cs="仿宋_GB2312"/>
          <w:sz w:val="32"/>
          <w:szCs w:val="32"/>
          <w:highlight w:val="none"/>
          <w:u w:val="none"/>
        </w:rPr>
        <w:tab/>
      </w:r>
      <w:r>
        <w:rPr>
          <w:rFonts w:hint="eastAsia" w:ascii="仿宋_GB2312" w:hAnsi="仿宋_GB2312" w:eastAsia="仿宋_GB2312" w:cs="仿宋_GB2312"/>
          <w:sz w:val="32"/>
          <w:szCs w:val="32"/>
          <w:highlight w:val="none"/>
          <w:u w:val="none"/>
        </w:rPr>
        <w:tab/>
      </w:r>
      <w:r>
        <w:rPr>
          <w:rFonts w:hint="eastAsia" w:ascii="仿宋_GB2312" w:hAnsi="仿宋_GB2312" w:eastAsia="仿宋_GB2312" w:cs="仿宋_GB2312"/>
          <w:sz w:val="32"/>
          <w:szCs w:val="32"/>
          <w:highlight w:val="none"/>
          <w:u w:val="none"/>
        </w:rPr>
        <w:t>授权委托代理人：</w:t>
      </w:r>
    </w:p>
    <w:p w14:paraId="402F87B8">
      <w:pPr>
        <w:spacing w:line="54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法定代表人签字：</w:t>
      </w:r>
      <w:r>
        <w:rPr>
          <w:rFonts w:hint="eastAsia" w:ascii="仿宋_GB2312" w:hAnsi="仿宋_GB2312" w:eastAsia="仿宋_GB2312" w:cs="仿宋_GB2312"/>
          <w:sz w:val="32"/>
          <w:szCs w:val="32"/>
          <w:highlight w:val="none"/>
          <w:u w:val="none"/>
        </w:rPr>
        <w:tab/>
      </w:r>
      <w:r>
        <w:rPr>
          <w:rFonts w:hint="eastAsia" w:ascii="仿宋_GB2312" w:hAnsi="仿宋_GB2312" w:eastAsia="仿宋_GB2312" w:cs="仿宋_GB2312"/>
          <w:sz w:val="32"/>
          <w:szCs w:val="32"/>
          <w:highlight w:val="none"/>
          <w:u w:val="none"/>
        </w:rPr>
        <w:tab/>
      </w:r>
      <w:r>
        <w:rPr>
          <w:rFonts w:hint="eastAsia" w:ascii="仿宋_GB2312" w:hAnsi="仿宋_GB2312" w:eastAsia="仿宋_GB2312" w:cs="仿宋_GB2312"/>
          <w:sz w:val="32"/>
          <w:szCs w:val="32"/>
          <w:highlight w:val="none"/>
          <w:u w:val="none"/>
        </w:rPr>
        <w:tab/>
      </w:r>
      <w:r>
        <w:rPr>
          <w:rFonts w:hint="eastAsia" w:ascii="仿宋_GB2312" w:hAnsi="仿宋_GB2312" w:eastAsia="仿宋_GB2312" w:cs="仿宋_GB2312"/>
          <w:sz w:val="32"/>
          <w:szCs w:val="32"/>
          <w:highlight w:val="none"/>
          <w:u w:val="none"/>
        </w:rPr>
        <w:t xml:space="preserve">    </w:t>
      </w:r>
      <w:r>
        <w:rPr>
          <w:rFonts w:hint="eastAsia" w:ascii="仿宋_GB2312" w:hAnsi="仿宋_GB2312" w:eastAsia="仿宋_GB2312" w:cs="仿宋_GB2312"/>
          <w:sz w:val="32"/>
          <w:szCs w:val="32"/>
          <w:highlight w:val="none"/>
          <w:u w:val="none"/>
        </w:rPr>
        <w:tab/>
      </w:r>
      <w:r>
        <w:rPr>
          <w:rFonts w:hint="eastAsia" w:ascii="仿宋_GB2312" w:hAnsi="仿宋_GB2312" w:eastAsia="仿宋_GB2312" w:cs="仿宋_GB2312"/>
          <w:sz w:val="32"/>
          <w:szCs w:val="32"/>
          <w:highlight w:val="none"/>
          <w:u w:val="none"/>
        </w:rPr>
        <w:t>签名：</w:t>
      </w:r>
    </w:p>
    <w:p w14:paraId="4C190D16">
      <w:pPr>
        <w:spacing w:line="54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单位公章：</w:t>
      </w:r>
      <w:r>
        <w:rPr>
          <w:rFonts w:hint="eastAsia" w:ascii="仿宋_GB2312" w:hAnsi="仿宋_GB2312" w:eastAsia="仿宋_GB2312" w:cs="仿宋_GB2312"/>
          <w:sz w:val="32"/>
          <w:szCs w:val="32"/>
          <w:highlight w:val="none"/>
          <w:u w:val="none"/>
        </w:rPr>
        <w:tab/>
      </w:r>
      <w:r>
        <w:rPr>
          <w:rFonts w:hint="eastAsia" w:ascii="仿宋_GB2312" w:hAnsi="仿宋_GB2312" w:eastAsia="仿宋_GB2312" w:cs="仿宋_GB2312"/>
          <w:sz w:val="32"/>
          <w:szCs w:val="32"/>
          <w:highlight w:val="none"/>
          <w:u w:val="none"/>
        </w:rPr>
        <w:tab/>
      </w:r>
      <w:r>
        <w:rPr>
          <w:rFonts w:hint="eastAsia" w:ascii="仿宋_GB2312" w:hAnsi="仿宋_GB2312" w:eastAsia="仿宋_GB2312" w:cs="仿宋_GB2312"/>
          <w:sz w:val="32"/>
          <w:szCs w:val="32"/>
          <w:highlight w:val="none"/>
          <w:u w:val="none"/>
        </w:rPr>
        <w:tab/>
      </w:r>
      <w:r>
        <w:rPr>
          <w:rFonts w:hint="eastAsia" w:ascii="仿宋_GB2312" w:hAnsi="仿宋_GB2312" w:eastAsia="仿宋_GB2312" w:cs="仿宋_GB2312"/>
          <w:sz w:val="32"/>
          <w:szCs w:val="32"/>
          <w:highlight w:val="none"/>
          <w:u w:val="none"/>
        </w:rPr>
        <w:tab/>
      </w:r>
      <w:r>
        <w:rPr>
          <w:rFonts w:hint="eastAsia" w:ascii="仿宋_GB2312" w:hAnsi="仿宋_GB2312" w:eastAsia="仿宋_GB2312" w:cs="仿宋_GB2312"/>
          <w:sz w:val="32"/>
          <w:szCs w:val="32"/>
          <w:highlight w:val="none"/>
          <w:u w:val="none"/>
        </w:rPr>
        <w:tab/>
      </w:r>
      <w:r>
        <w:rPr>
          <w:rFonts w:hint="eastAsia" w:ascii="仿宋_GB2312" w:hAnsi="仿宋_GB2312" w:eastAsia="仿宋_GB2312" w:cs="仿宋_GB2312"/>
          <w:sz w:val="32"/>
          <w:szCs w:val="32"/>
          <w:highlight w:val="none"/>
          <w:u w:val="none"/>
        </w:rPr>
        <w:t xml:space="preserve">   </w:t>
      </w:r>
      <w:r>
        <w:rPr>
          <w:rFonts w:hint="eastAsia" w:ascii="仿宋_GB2312" w:hAnsi="仿宋_GB2312" w:eastAsia="仿宋_GB2312" w:cs="仿宋_GB2312"/>
          <w:sz w:val="32"/>
          <w:szCs w:val="32"/>
          <w:highlight w:val="none"/>
          <w:u w:val="none"/>
        </w:rPr>
        <w:tab/>
      </w:r>
      <w:r>
        <w:rPr>
          <w:rFonts w:hint="eastAsia" w:ascii="仿宋_GB2312" w:hAnsi="仿宋_GB2312" w:eastAsia="仿宋_GB2312" w:cs="仿宋_GB2312"/>
          <w:sz w:val="32"/>
          <w:szCs w:val="32"/>
          <w:highlight w:val="none"/>
          <w:u w:val="none"/>
        </w:rPr>
        <w:t>身份证号码：</w:t>
      </w:r>
    </w:p>
    <w:p w14:paraId="3DAFDA9C">
      <w:pPr>
        <w:spacing w:line="54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地址：</w:t>
      </w:r>
      <w:r>
        <w:rPr>
          <w:rFonts w:hint="eastAsia" w:ascii="仿宋_GB2312" w:hAnsi="仿宋_GB2312" w:eastAsia="仿宋_GB2312" w:cs="仿宋_GB2312"/>
          <w:sz w:val="32"/>
          <w:szCs w:val="32"/>
          <w:highlight w:val="none"/>
          <w:u w:val="none"/>
        </w:rPr>
        <w:tab/>
      </w:r>
      <w:r>
        <w:rPr>
          <w:rFonts w:hint="eastAsia" w:ascii="仿宋_GB2312" w:hAnsi="仿宋_GB2312" w:eastAsia="仿宋_GB2312" w:cs="仿宋_GB2312"/>
          <w:sz w:val="32"/>
          <w:szCs w:val="32"/>
          <w:highlight w:val="none"/>
          <w:u w:val="none"/>
        </w:rPr>
        <w:tab/>
      </w:r>
      <w:r>
        <w:rPr>
          <w:rFonts w:hint="eastAsia" w:ascii="仿宋_GB2312" w:hAnsi="仿宋_GB2312" w:eastAsia="仿宋_GB2312" w:cs="仿宋_GB2312"/>
          <w:sz w:val="32"/>
          <w:szCs w:val="32"/>
          <w:highlight w:val="none"/>
          <w:u w:val="none"/>
        </w:rPr>
        <w:tab/>
      </w:r>
      <w:r>
        <w:rPr>
          <w:rFonts w:hint="eastAsia" w:ascii="仿宋_GB2312" w:hAnsi="仿宋_GB2312" w:eastAsia="仿宋_GB2312" w:cs="仿宋_GB2312"/>
          <w:sz w:val="32"/>
          <w:szCs w:val="32"/>
          <w:highlight w:val="none"/>
          <w:u w:val="none"/>
        </w:rPr>
        <w:tab/>
      </w:r>
      <w:r>
        <w:rPr>
          <w:rFonts w:hint="eastAsia" w:ascii="仿宋_GB2312" w:hAnsi="仿宋_GB2312" w:eastAsia="仿宋_GB2312" w:cs="仿宋_GB2312"/>
          <w:sz w:val="32"/>
          <w:szCs w:val="32"/>
          <w:highlight w:val="none"/>
          <w:u w:val="none"/>
        </w:rPr>
        <w:tab/>
      </w:r>
      <w:r>
        <w:rPr>
          <w:rFonts w:hint="eastAsia" w:ascii="仿宋_GB2312" w:hAnsi="仿宋_GB2312" w:eastAsia="仿宋_GB2312" w:cs="仿宋_GB2312"/>
          <w:sz w:val="32"/>
          <w:szCs w:val="32"/>
          <w:highlight w:val="none"/>
          <w:u w:val="none"/>
        </w:rPr>
        <w:tab/>
      </w:r>
      <w:r>
        <w:rPr>
          <w:rFonts w:hint="eastAsia" w:ascii="仿宋_GB2312" w:hAnsi="仿宋_GB2312" w:eastAsia="仿宋_GB2312" w:cs="仿宋_GB2312"/>
          <w:sz w:val="32"/>
          <w:szCs w:val="32"/>
          <w:highlight w:val="none"/>
          <w:u w:val="none"/>
        </w:rPr>
        <w:tab/>
      </w:r>
      <w:r>
        <w:rPr>
          <w:rFonts w:hint="eastAsia" w:ascii="仿宋_GB2312" w:hAnsi="仿宋_GB2312" w:eastAsia="仿宋_GB2312" w:cs="仿宋_GB2312"/>
          <w:sz w:val="32"/>
          <w:szCs w:val="32"/>
          <w:highlight w:val="none"/>
          <w:u w:val="none"/>
        </w:rPr>
        <w:t xml:space="preserve">   </w:t>
      </w:r>
      <w:r>
        <w:rPr>
          <w:rFonts w:hint="eastAsia" w:ascii="仿宋_GB2312" w:hAnsi="仿宋_GB2312" w:eastAsia="仿宋_GB2312" w:cs="仿宋_GB2312"/>
          <w:sz w:val="32"/>
          <w:szCs w:val="32"/>
          <w:highlight w:val="none"/>
          <w:u w:val="none"/>
        </w:rPr>
        <w:tab/>
      </w:r>
      <w:r>
        <w:rPr>
          <w:rFonts w:hint="eastAsia" w:ascii="仿宋_GB2312" w:hAnsi="仿宋_GB2312" w:eastAsia="仿宋_GB2312" w:cs="仿宋_GB2312"/>
          <w:sz w:val="32"/>
          <w:szCs w:val="32"/>
          <w:highlight w:val="none"/>
          <w:u w:val="none"/>
        </w:rPr>
        <w:t>单位：</w:t>
      </w:r>
    </w:p>
    <w:p w14:paraId="34D37C0B">
      <w:pPr>
        <w:spacing w:line="54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电话：</w:t>
      </w:r>
      <w:r>
        <w:rPr>
          <w:rFonts w:hint="eastAsia" w:ascii="仿宋_GB2312" w:hAnsi="仿宋_GB2312" w:eastAsia="仿宋_GB2312" w:cs="仿宋_GB2312"/>
          <w:sz w:val="32"/>
          <w:szCs w:val="32"/>
          <w:highlight w:val="none"/>
          <w:u w:val="none"/>
        </w:rPr>
        <w:tab/>
      </w:r>
      <w:r>
        <w:rPr>
          <w:rFonts w:hint="eastAsia" w:ascii="仿宋_GB2312" w:hAnsi="仿宋_GB2312" w:eastAsia="仿宋_GB2312" w:cs="仿宋_GB2312"/>
          <w:sz w:val="32"/>
          <w:szCs w:val="32"/>
          <w:highlight w:val="none"/>
          <w:u w:val="none"/>
        </w:rPr>
        <w:tab/>
      </w:r>
      <w:r>
        <w:rPr>
          <w:rFonts w:hint="eastAsia" w:ascii="仿宋_GB2312" w:hAnsi="仿宋_GB2312" w:eastAsia="仿宋_GB2312" w:cs="仿宋_GB2312"/>
          <w:sz w:val="32"/>
          <w:szCs w:val="32"/>
          <w:highlight w:val="none"/>
          <w:u w:val="none"/>
        </w:rPr>
        <w:tab/>
      </w:r>
      <w:r>
        <w:rPr>
          <w:rFonts w:hint="eastAsia" w:ascii="仿宋_GB2312" w:hAnsi="仿宋_GB2312" w:eastAsia="仿宋_GB2312" w:cs="仿宋_GB2312"/>
          <w:sz w:val="32"/>
          <w:szCs w:val="32"/>
          <w:highlight w:val="none"/>
          <w:u w:val="none"/>
        </w:rPr>
        <w:tab/>
      </w:r>
      <w:r>
        <w:rPr>
          <w:rFonts w:hint="eastAsia" w:ascii="仿宋_GB2312" w:hAnsi="仿宋_GB2312" w:eastAsia="仿宋_GB2312" w:cs="仿宋_GB2312"/>
          <w:sz w:val="32"/>
          <w:szCs w:val="32"/>
          <w:highlight w:val="none"/>
          <w:u w:val="none"/>
        </w:rPr>
        <w:tab/>
      </w:r>
      <w:r>
        <w:rPr>
          <w:rFonts w:hint="eastAsia" w:ascii="仿宋_GB2312" w:hAnsi="仿宋_GB2312" w:eastAsia="仿宋_GB2312" w:cs="仿宋_GB2312"/>
          <w:sz w:val="32"/>
          <w:szCs w:val="32"/>
          <w:highlight w:val="none"/>
          <w:u w:val="none"/>
        </w:rPr>
        <w:tab/>
      </w:r>
      <w:r>
        <w:rPr>
          <w:rFonts w:hint="eastAsia" w:ascii="仿宋_GB2312" w:hAnsi="仿宋_GB2312" w:eastAsia="仿宋_GB2312" w:cs="仿宋_GB2312"/>
          <w:sz w:val="32"/>
          <w:szCs w:val="32"/>
          <w:highlight w:val="none"/>
          <w:u w:val="none"/>
        </w:rPr>
        <w:tab/>
      </w:r>
      <w:r>
        <w:rPr>
          <w:rFonts w:hint="eastAsia" w:ascii="仿宋_GB2312" w:hAnsi="仿宋_GB2312" w:eastAsia="仿宋_GB2312" w:cs="仿宋_GB2312"/>
          <w:sz w:val="32"/>
          <w:szCs w:val="32"/>
          <w:highlight w:val="none"/>
          <w:u w:val="none"/>
        </w:rPr>
        <w:t xml:space="preserve">   </w:t>
      </w:r>
      <w:r>
        <w:rPr>
          <w:rFonts w:hint="eastAsia" w:ascii="仿宋_GB2312" w:hAnsi="仿宋_GB2312" w:eastAsia="仿宋_GB2312" w:cs="仿宋_GB2312"/>
          <w:sz w:val="32"/>
          <w:szCs w:val="32"/>
          <w:highlight w:val="none"/>
          <w:u w:val="none"/>
        </w:rPr>
        <w:tab/>
      </w:r>
      <w:r>
        <w:rPr>
          <w:rFonts w:hint="eastAsia" w:ascii="仿宋_GB2312" w:hAnsi="仿宋_GB2312" w:eastAsia="仿宋_GB2312" w:cs="仿宋_GB2312"/>
          <w:sz w:val="32"/>
          <w:szCs w:val="32"/>
          <w:highlight w:val="none"/>
          <w:u w:val="none"/>
        </w:rPr>
        <w:t>联系电话：</w:t>
      </w:r>
    </w:p>
    <w:p w14:paraId="3D919C90">
      <w:pPr>
        <w:spacing w:line="540" w:lineRule="exact"/>
        <w:ind w:firstLine="640"/>
        <w:rPr>
          <w:rFonts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日期： 年  月  日</w:t>
      </w:r>
    </w:p>
    <w:p w14:paraId="2A43E911">
      <w:pPr>
        <w:spacing w:line="540" w:lineRule="exact"/>
        <w:ind w:firstLine="687" w:firstLineChars="229"/>
      </w:pPr>
      <w:r>
        <w:rPr>
          <w:rFonts w:hint="eastAsia" w:ascii="仿宋_GB2312" w:hAnsi="仿宋_GB2312" w:eastAsia="仿宋_GB2312" w:cs="仿宋_GB2312"/>
          <w:sz w:val="30"/>
          <w:szCs w:val="30"/>
          <w:highlight w:val="none"/>
          <w:u w:val="none"/>
        </w:rPr>
        <w:t>注：如法定代表人授权他人办理，须按此模板提供委托书</w:t>
      </w:r>
      <w:r>
        <w:rPr>
          <w:rFonts w:hint="eastAsia" w:ascii="仿宋_GB2312" w:hAnsi="仿宋_GB2312" w:eastAsia="仿宋_GB2312" w:cs="仿宋_GB2312"/>
          <w:color w:val="0000FF"/>
          <w:sz w:val="30"/>
          <w:szCs w:val="30"/>
          <w:highlight w:val="none"/>
          <w:u w:val="none"/>
        </w:rPr>
        <w:t>。</w:t>
      </w:r>
    </w:p>
    <w:sectPr>
      <w:headerReference r:id="rId5" w:type="default"/>
      <w:footerReference r:id="rId6" w:type="default"/>
      <w:pgSz w:w="11906" w:h="16838"/>
      <w:pgMar w:top="2041" w:right="1474" w:bottom="192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65A8A7-1B73-4771-B24B-6A89462B91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F6B18D3-19FB-4670-8C0F-677D34258F0E}"/>
  </w:font>
  <w:font w:name="方正小标宋简体">
    <w:panose1 w:val="02000000000000000000"/>
    <w:charset w:val="86"/>
    <w:family w:val="auto"/>
    <w:pitch w:val="default"/>
    <w:sig w:usb0="00000001" w:usb1="080E0000" w:usb2="00000000" w:usb3="00000000" w:csb0="00040000" w:csb1="00000000"/>
    <w:embedRegular r:id="rId3" w:fontKey="{F66473C4-89D8-46ED-9D46-180150E1782E}"/>
  </w:font>
  <w:font w:name="仿宋_GB2312">
    <w:panose1 w:val="02010609030101010101"/>
    <w:charset w:val="86"/>
    <w:family w:val="auto"/>
    <w:pitch w:val="default"/>
    <w:sig w:usb0="00000001" w:usb1="080E0000" w:usb2="00000000" w:usb3="00000000" w:csb0="00040000" w:csb1="00000000"/>
    <w:embedRegular r:id="rId4" w:fontKey="{57D6AD83-2E61-45D6-9C3E-AF281108019B}"/>
  </w:font>
  <w:font w:name="楷体_GB2312">
    <w:panose1 w:val="02010609030101010101"/>
    <w:charset w:val="86"/>
    <w:family w:val="modern"/>
    <w:pitch w:val="default"/>
    <w:sig w:usb0="00000001" w:usb1="080E0000" w:usb2="00000000" w:usb3="00000000" w:csb0="00040000" w:csb1="00000000"/>
    <w:embedRegular r:id="rId5" w:fontKey="{E0FCE889-BBFF-4E96-A5AB-ED8B26479804}"/>
  </w:font>
  <w:font w:name="FangSong_GB2312">
    <w:altName w:val="仿宋_GB2312"/>
    <w:panose1 w:val="00000000000000000000"/>
    <w:charset w:val="86"/>
    <w:family w:val="auto"/>
    <w:pitch w:val="default"/>
    <w:sig w:usb0="00000000" w:usb1="00000000" w:usb2="00000000" w:usb3="00000000" w:csb0="00040000" w:csb1="00000000"/>
    <w:embedRegular r:id="rId6" w:fontKey="{74F78F3D-E078-4A6B-BEF2-E953C111CF16}"/>
  </w:font>
  <w:font w:name="微软雅黑">
    <w:panose1 w:val="020B0503020204020204"/>
    <w:charset w:val="86"/>
    <w:family w:val="swiss"/>
    <w:pitch w:val="default"/>
    <w:sig w:usb0="80000287" w:usb1="2ACF3C50" w:usb2="00000016" w:usb3="00000000" w:csb0="0004001F" w:csb1="00000000"/>
    <w:embedRegular r:id="rId7" w:fontKey="{8A3117F4-6CB3-4EA5-81F1-782E1ABDDFBA}"/>
  </w:font>
  <w:font w:name="___WRD_EMBED_SUB_39">
    <w:panose1 w:val="02010609030101010101"/>
    <w:charset w:val="86"/>
    <w:family w:val="auto"/>
    <w:pitch w:val="default"/>
    <w:sig w:usb0="00000001" w:usb1="080E0000" w:usb2="00000000" w:usb3="00000000" w:csb0="00040000" w:csb1="00000000"/>
    <w:embedRegular r:id="rId8" w:fontKey="{3D29C5BA-FE1A-4561-8742-89D00F6FD6A2}"/>
  </w:font>
  <w:font w:name="方正小标宋_GBK">
    <w:panose1 w:val="02000000000000000000"/>
    <w:charset w:val="86"/>
    <w:family w:val="script"/>
    <w:pitch w:val="default"/>
    <w:sig w:usb0="A00002BF" w:usb1="38CF7CFA" w:usb2="00082016" w:usb3="00000000" w:csb0="00040001" w:csb1="00000000"/>
    <w:embedRegular r:id="rId9" w:fontKey="{A3DBA884-86C8-44C9-ADAB-EE65F67381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3FDF1">
    <w:pPr>
      <w:pStyle w:val="7"/>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E249F">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7E249F">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8FFCD">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E59B4">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CE59B4">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A2392">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3227B">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B2D116"/>
    <w:multiLevelType w:val="singleLevel"/>
    <w:tmpl w:val="28B2D116"/>
    <w:lvl w:ilvl="0" w:tentative="0">
      <w:start w:val="1"/>
      <w:numFmt w:val="chineseCounting"/>
      <w:suff w:val="nothing"/>
      <w:lvlText w:val="%1、"/>
      <w:lvlJc w:val="left"/>
      <w:rPr>
        <w:rFonts w:hint="eastAsia"/>
      </w:rPr>
    </w:lvl>
  </w:abstractNum>
  <w:abstractNum w:abstractNumId="1">
    <w:nsid w:val="735DC231"/>
    <w:multiLevelType w:val="singleLevel"/>
    <w:tmpl w:val="735DC231"/>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lZjc4Njg5NDNlNjc4NTYyNjNhZjFlODI1NjhmYjYifQ=="/>
  </w:docVars>
  <w:rsids>
    <w:rsidRoot w:val="0BC974E2"/>
    <w:rsid w:val="08D33389"/>
    <w:rsid w:val="0BC974E2"/>
    <w:rsid w:val="4A2D4F67"/>
    <w:rsid w:val="520420FD"/>
    <w:rsid w:val="62F87114"/>
    <w:rsid w:val="76EA2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Indent"/>
    <w:basedOn w:val="1"/>
    <w:next w:val="5"/>
    <w:unhideWhenUsed/>
    <w:qFormat/>
    <w:uiPriority w:val="0"/>
    <w:pPr>
      <w:ind w:firstLine="640"/>
    </w:pPr>
    <w:rPr>
      <w:kern w:val="0"/>
      <w:sz w:val="32"/>
    </w:rPr>
  </w:style>
  <w:style w:type="paragraph" w:styleId="5">
    <w:name w:val="envelope return"/>
    <w:basedOn w:val="1"/>
    <w:qFormat/>
    <w:uiPriority w:val="0"/>
    <w:pPr>
      <w:snapToGrid w:val="0"/>
    </w:pPr>
    <w:rPr>
      <w:rFonts w:ascii="Arial" w:hAnsi="Arial" w:cs="Arial"/>
    </w:rPr>
  </w:style>
  <w:style w:type="paragraph" w:styleId="6">
    <w:name w:val="Body Text Indent 2"/>
    <w:basedOn w:val="1"/>
    <w:next w:val="1"/>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2"/>
    <w:basedOn w:val="4"/>
    <w:next w:val="1"/>
    <w:qFormat/>
    <w:uiPriority w:val="0"/>
    <w:pPr>
      <w:ind w:firstLine="420"/>
    </w:pPr>
  </w:style>
  <w:style w:type="character" w:styleId="12">
    <w:name w:val="Hyperlink"/>
    <w:basedOn w:val="11"/>
    <w:qFormat/>
    <w:uiPriority w:val="0"/>
    <w:rPr>
      <w:color w:val="0000FF"/>
      <w:u w:val="single"/>
    </w:rPr>
  </w:style>
  <w:style w:type="paragraph" w:styleId="13">
    <w:name w:val="List Paragraph"/>
    <w:basedOn w:val="1"/>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10392</Words>
  <Characters>10549</Characters>
  <Lines>0</Lines>
  <Paragraphs>0</Paragraphs>
  <TotalTime>0</TotalTime>
  <ScaleCrop>false</ScaleCrop>
  <LinksUpToDate>false</LinksUpToDate>
  <CharactersWithSpaces>10813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2024-07-24T01:50:00Z</dcterms:created>
  <dc:creator>小nice </dc:creator>
  <cp:lastModifiedBy>小nice </cp:lastModifiedBy>
  <dcterms:modified xsi:type="dcterms:W3CDTF">2024-07-24T03:40:01Z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0A32C4D8DEB746BD9B5C170009EEBF6D_11</vt:lpwstr>
  </property>
</Properties>
</file>