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rPr>
          <w:rFonts w:ascii="仿宋" w:hAnsi="仿宋" w:eastAsia="仿宋" w:cs="仿宋"/>
          <w:sz w:val="32"/>
          <w:szCs w:val="32"/>
        </w:rPr>
      </w:pPr>
      <w:r>
        <w:rPr>
          <w:rFonts w:hint="eastAsia" w:ascii="仿宋" w:hAnsi="仿宋" w:eastAsia="仿宋" w:cs="仿宋"/>
          <w:sz w:val="32"/>
          <w:szCs w:val="32"/>
        </w:rPr>
        <w:t>附件</w:t>
      </w:r>
    </w:p>
    <w:p>
      <w:pPr>
        <w:spacing w:before="156" w:before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第三轮省级生态环境保护督察第二十四项整改任务完成情况表</w:t>
      </w:r>
    </w:p>
    <w:tbl>
      <w:tblPr>
        <w:tblStyle w:val="5"/>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53" w:type="dxa"/>
            <w:vAlign w:val="center"/>
          </w:tcPr>
          <w:p>
            <w:pPr>
              <w:jc w:val="center"/>
              <w:rPr>
                <w:rFonts w:ascii="仿宋" w:hAnsi="仿宋" w:eastAsia="仿宋" w:cs="仿宋"/>
                <w:sz w:val="32"/>
                <w:szCs w:val="32"/>
              </w:rPr>
            </w:pPr>
            <w:r>
              <w:rPr>
                <w:rFonts w:hint="eastAsia" w:ascii="仿宋" w:hAnsi="仿宋" w:eastAsia="仿宋" w:cs="仿宋"/>
                <w:sz w:val="32"/>
                <w:szCs w:val="32"/>
              </w:rPr>
              <w:t>整改任务</w:t>
            </w:r>
          </w:p>
        </w:tc>
        <w:tc>
          <w:tcPr>
            <w:tcW w:w="6306" w:type="dxa"/>
            <w:vAlign w:val="center"/>
          </w:tcPr>
          <w:p>
            <w:pPr>
              <w:spacing w:line="520" w:lineRule="exact"/>
              <w:rPr>
                <w:rFonts w:ascii="仿宋" w:hAnsi="仿宋" w:eastAsia="仿宋" w:cs="仿宋"/>
                <w:sz w:val="32"/>
                <w:szCs w:val="32"/>
              </w:rPr>
            </w:pPr>
            <w:r>
              <w:rPr>
                <w:rFonts w:hint="eastAsia" w:ascii="仿宋" w:hAnsi="仿宋" w:eastAsia="仿宋" w:cs="仿宋"/>
                <w:sz w:val="32"/>
                <w:szCs w:val="32"/>
              </w:rPr>
              <w:t>四川省第三轮生态环境保护督察蜀道集团督察报告整改任务第二十四项：“蜀道装备公司、蜀道物流启新汽车服务公司废漆渣危险废物管理混乱，部分废活性炭去向不明”。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53" w:type="dxa"/>
            <w:vAlign w:val="center"/>
          </w:tcPr>
          <w:p>
            <w:pPr>
              <w:jc w:val="center"/>
              <w:rPr>
                <w:rFonts w:ascii="仿宋" w:hAnsi="仿宋" w:eastAsia="仿宋" w:cs="仿宋"/>
                <w:sz w:val="32"/>
                <w:szCs w:val="32"/>
              </w:rPr>
            </w:pPr>
            <w:r>
              <w:rPr>
                <w:rFonts w:hint="eastAsia" w:ascii="仿宋" w:hAnsi="仿宋" w:eastAsia="仿宋" w:cs="仿宋"/>
                <w:sz w:val="32"/>
                <w:szCs w:val="32"/>
              </w:rPr>
              <w:t>整改责任单位</w:t>
            </w:r>
          </w:p>
        </w:tc>
        <w:tc>
          <w:tcPr>
            <w:tcW w:w="6306" w:type="dxa"/>
            <w:vAlign w:val="center"/>
          </w:tcPr>
          <w:p>
            <w:pPr>
              <w:spacing w:line="520" w:lineRule="exact"/>
              <w:rPr>
                <w:rFonts w:ascii="仿宋" w:hAnsi="仿宋" w:eastAsia="仿宋" w:cs="仿宋"/>
                <w:sz w:val="32"/>
                <w:szCs w:val="32"/>
              </w:rPr>
            </w:pPr>
            <w:r>
              <w:rPr>
                <w:rFonts w:hint="eastAsia" w:ascii="仿宋" w:hAnsi="仿宋" w:eastAsia="仿宋" w:cs="仿宋"/>
                <w:sz w:val="32"/>
                <w:szCs w:val="32"/>
              </w:rPr>
              <w:t>四川蜀道装备科技股份有限公司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53" w:type="dxa"/>
            <w:vAlign w:val="center"/>
          </w:tcPr>
          <w:p>
            <w:pPr>
              <w:jc w:val="center"/>
              <w:rPr>
                <w:rFonts w:ascii="仿宋" w:hAnsi="仿宋" w:eastAsia="仿宋" w:cs="仿宋"/>
                <w:sz w:val="32"/>
                <w:szCs w:val="32"/>
              </w:rPr>
            </w:pPr>
            <w:r>
              <w:rPr>
                <w:rFonts w:hint="eastAsia" w:ascii="仿宋" w:hAnsi="仿宋" w:eastAsia="仿宋" w:cs="仿宋"/>
                <w:sz w:val="32"/>
                <w:szCs w:val="32"/>
              </w:rPr>
              <w:t>整改目标</w:t>
            </w:r>
          </w:p>
        </w:tc>
        <w:tc>
          <w:tcPr>
            <w:tcW w:w="6306" w:type="dxa"/>
            <w:vAlign w:val="center"/>
          </w:tcPr>
          <w:p>
            <w:pPr>
              <w:spacing w:line="520" w:lineRule="exact"/>
              <w:rPr>
                <w:rFonts w:ascii="仿宋" w:hAnsi="仿宋" w:eastAsia="仿宋" w:cs="仿宋"/>
                <w:sz w:val="32"/>
                <w:szCs w:val="32"/>
              </w:rPr>
            </w:pPr>
            <w:r>
              <w:rPr>
                <w:rFonts w:hint="eastAsia" w:ascii="仿宋" w:hAnsi="仿宋" w:eastAsia="仿宋" w:cs="仿宋"/>
                <w:sz w:val="32"/>
                <w:szCs w:val="32"/>
              </w:rPr>
              <w:t>规范危险废物管理流程，依法合规处置危险废物。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trPr>
        <w:tc>
          <w:tcPr>
            <w:tcW w:w="2153" w:type="dxa"/>
            <w:vAlign w:val="center"/>
          </w:tcPr>
          <w:p>
            <w:pPr>
              <w:jc w:val="center"/>
              <w:rPr>
                <w:rFonts w:ascii="仿宋" w:hAnsi="仿宋" w:eastAsia="仿宋" w:cs="仿宋"/>
                <w:sz w:val="32"/>
                <w:szCs w:val="32"/>
              </w:rPr>
            </w:pPr>
            <w:r>
              <w:rPr>
                <w:rFonts w:hint="eastAsia" w:ascii="仿宋" w:hAnsi="仿宋" w:eastAsia="仿宋" w:cs="仿宋"/>
                <w:sz w:val="32"/>
                <w:szCs w:val="32"/>
              </w:rPr>
              <w:t>整改措施</w:t>
            </w:r>
          </w:p>
        </w:tc>
        <w:tc>
          <w:tcPr>
            <w:tcW w:w="6306" w:type="dxa"/>
            <w:vAlign w:val="center"/>
          </w:tcPr>
          <w:p>
            <w:pPr>
              <w:spacing w:line="520" w:lineRule="exact"/>
              <w:rPr>
                <w:rFonts w:ascii="仿宋" w:hAnsi="仿宋" w:eastAsia="仿宋" w:cs="仿宋"/>
                <w:sz w:val="32"/>
                <w:szCs w:val="32"/>
              </w:rPr>
            </w:pPr>
            <w:r>
              <w:rPr>
                <w:rFonts w:hint="eastAsia" w:ascii="仿宋" w:hAnsi="仿宋" w:eastAsia="仿宋" w:cs="仿宋"/>
                <w:sz w:val="32"/>
                <w:szCs w:val="32"/>
              </w:rPr>
              <w:t>1.2023年6月底前，理清公司固废管理流程，建立固体废物管理办法；明确产生危险废物种类，完善危险废物管理台账。</w:t>
            </w:r>
          </w:p>
          <w:p>
            <w:pPr>
              <w:spacing w:line="520" w:lineRule="exact"/>
              <w:rPr>
                <w:rFonts w:ascii="仿宋" w:hAnsi="仿宋" w:eastAsia="仿宋" w:cs="仿宋"/>
                <w:sz w:val="32"/>
                <w:szCs w:val="32"/>
              </w:rPr>
            </w:pPr>
            <w:r>
              <w:rPr>
                <w:rFonts w:hint="eastAsia" w:ascii="仿宋" w:hAnsi="仿宋" w:eastAsia="仿宋" w:cs="仿宋"/>
                <w:sz w:val="32"/>
                <w:szCs w:val="32"/>
              </w:rPr>
              <w:t>2.</w:t>
            </w:r>
            <w:r>
              <w:rPr>
                <w:rFonts w:hint="eastAsia"/>
              </w:rPr>
              <w:t xml:space="preserve"> </w:t>
            </w:r>
            <w:r>
              <w:rPr>
                <w:rFonts w:hint="eastAsia" w:ascii="仿宋" w:hAnsi="仿宋" w:eastAsia="仿宋" w:cs="仿宋"/>
                <w:sz w:val="32"/>
                <w:szCs w:val="32"/>
              </w:rPr>
              <w:t>2023年7月底前，规范设置危险废物识别标志，如实登记管理危废入、出库情况，委托有资质的三方单位定期对危险废弃物进行清运、处置。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53" w:type="dxa"/>
            <w:vAlign w:val="center"/>
          </w:tcPr>
          <w:p>
            <w:pPr>
              <w:jc w:val="center"/>
              <w:rPr>
                <w:rFonts w:ascii="仿宋" w:hAnsi="仿宋" w:eastAsia="仿宋" w:cs="仿宋"/>
                <w:sz w:val="32"/>
                <w:szCs w:val="32"/>
              </w:rPr>
            </w:pPr>
            <w:r>
              <w:rPr>
                <w:rFonts w:hint="eastAsia" w:ascii="仿宋" w:hAnsi="仿宋" w:eastAsia="仿宋" w:cs="仿宋"/>
                <w:sz w:val="32"/>
                <w:szCs w:val="32"/>
              </w:rPr>
              <w:t>整改主要工作及成效</w:t>
            </w:r>
          </w:p>
        </w:tc>
        <w:tc>
          <w:tcPr>
            <w:tcW w:w="6306" w:type="dxa"/>
            <w:vAlign w:val="center"/>
          </w:tcPr>
          <w:p>
            <w:pPr>
              <w:spacing w:line="520" w:lineRule="exact"/>
              <w:rPr>
                <w:rFonts w:ascii="仿宋" w:hAnsi="仿宋" w:eastAsia="仿宋" w:cs="仿宋"/>
                <w:sz w:val="32"/>
                <w:szCs w:val="32"/>
              </w:rPr>
            </w:pPr>
            <w:r>
              <w:rPr>
                <w:rFonts w:hint="eastAsia" w:ascii="仿宋" w:hAnsi="仿宋" w:eastAsia="仿宋" w:cs="仿宋"/>
                <w:sz w:val="32"/>
                <w:szCs w:val="32"/>
              </w:rPr>
              <w:t>1.</w:t>
            </w:r>
            <w:r>
              <w:rPr>
                <w:rFonts w:hint="eastAsia"/>
              </w:rPr>
              <w:t xml:space="preserve"> </w:t>
            </w:r>
            <w:r>
              <w:rPr>
                <w:rFonts w:hint="eastAsia" w:ascii="仿宋" w:hAnsi="仿宋" w:eastAsia="仿宋" w:cs="仿宋"/>
                <w:sz w:val="32"/>
                <w:szCs w:val="32"/>
              </w:rPr>
              <w:t>公司按照最新固废管理规定梳理了固废管理流程，2023年3月制定发布了《固体废物管理办法》。</w:t>
            </w:r>
          </w:p>
          <w:p>
            <w:pPr>
              <w:spacing w:line="520" w:lineRule="exact"/>
              <w:rPr>
                <w:rFonts w:ascii="仿宋" w:hAnsi="仿宋" w:eastAsia="仿宋" w:cs="仿宋"/>
                <w:sz w:val="32"/>
                <w:szCs w:val="32"/>
              </w:rPr>
            </w:pPr>
            <w:r>
              <w:rPr>
                <w:rFonts w:hint="eastAsia" w:ascii="仿宋" w:hAnsi="仿宋" w:eastAsia="仿宋" w:cs="仿宋"/>
                <w:sz w:val="32"/>
                <w:szCs w:val="32"/>
              </w:rPr>
              <w:t>2.公司已完善危险废物管理流程、管理台账：由产生部门负责收集、分类整理，送至危废暂存间，并如实分类填写入库台账。由危废监督管理部门委托有资质的第三方单位进行处置，并填写危废处置台账、危废总台账，保存处置联单</w:t>
            </w:r>
            <w:r>
              <w:rPr>
                <w:rFonts w:hint="eastAsia" w:ascii="仿宋" w:hAnsi="仿宋" w:eastAsia="仿宋" w:cs="仿宋"/>
                <w:sz w:val="32"/>
                <w:szCs w:val="32"/>
                <w:lang w:eastAsia="zh-CN"/>
              </w:rPr>
              <w:t>，</w:t>
            </w:r>
            <w:r>
              <w:rPr>
                <w:rFonts w:hint="eastAsia" w:ascii="仿宋" w:hAnsi="仿宋" w:eastAsia="仿宋" w:cs="仿宋"/>
                <w:sz w:val="32"/>
                <w:szCs w:val="32"/>
              </w:rPr>
              <w:t>已委托有资质的第三方单位处置了2次危险废物。</w:t>
            </w:r>
          </w:p>
          <w:p>
            <w:pPr>
              <w:spacing w:line="520" w:lineRule="exact"/>
              <w:rPr>
                <w:rFonts w:ascii="仿宋" w:hAnsi="仿宋" w:eastAsia="仿宋" w:cs="仿宋"/>
                <w:sz w:val="32"/>
                <w:szCs w:val="32"/>
              </w:rPr>
            </w:pPr>
            <w:r>
              <w:rPr>
                <w:rFonts w:hint="eastAsia" w:ascii="仿宋" w:hAnsi="仿宋" w:eastAsia="仿宋" w:cs="仿宋"/>
                <w:sz w:val="32"/>
                <w:szCs w:val="32"/>
              </w:rPr>
              <w:t>3.</w:t>
            </w:r>
            <w:r>
              <w:rPr>
                <w:rFonts w:hint="eastAsia"/>
              </w:rPr>
              <w:t xml:space="preserve"> </w:t>
            </w:r>
            <w:r>
              <w:rPr>
                <w:rFonts w:hint="eastAsia" w:ascii="仿宋" w:hAnsi="仿宋" w:eastAsia="仿宋" w:cs="仿宋"/>
                <w:sz w:val="32"/>
                <w:szCs w:val="32"/>
              </w:rPr>
              <w:t>公司已按照2023年7月实施的《危险废物识别标志设置技术规范》对危险废物识别标志完善设置。</w:t>
            </w:r>
          </w:p>
        </w:tc>
      </w:tr>
    </w:tbl>
    <w:p>
      <w:pPr>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95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492</Words>
  <Characters>510</Characters>
  <Lines>3</Lines>
  <Paragraphs>1</Paragraphs>
  <TotalTime>0</TotalTime>
  <ScaleCrop>false</ScaleCrop>
  <LinksUpToDate>false</LinksUpToDate>
  <CharactersWithSpaces>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2023-08-16T15:04:00Z</dcterms:created>
  <dc:creator>Administrator</dc:creator>
  <cp:lastModifiedBy>胖胖是只布偶猫</cp:lastModifiedBy>
  <dcterms:modified xsi:type="dcterms:W3CDTF">2023-08-18T06:12:34Z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199A841C60CD47E0B8CD01C0CDE5719F_13</vt:lpwstr>
  </property>
</Properties>
</file>