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20" w:lineRule="exact"/>
        <w:ind w:right="159"/>
        <w:jc w:val="both"/>
        <w:textAlignment w:val="baseline"/>
        <w:rPr>
          <w:rStyle w:val="15"/>
          <w:rFonts w:ascii="仿宋_GB2312" w:hAnsi="仿宋" w:eastAsia="仿宋_GB2312"/>
          <w:sz w:val="32"/>
          <w:szCs w:val="32"/>
        </w:rPr>
      </w:pPr>
    </w:p>
    <w:p>
      <w:pPr>
        <w:widowControl/>
        <w:spacing w:line="320" w:lineRule="exact"/>
        <w:ind w:right="159"/>
        <w:jc w:val="right"/>
        <w:textAlignment w:val="baseline"/>
        <w:rPr>
          <w:rStyle w:val="15"/>
          <w:rFonts w:ascii="仿宋_GB2312" w:hAnsi="仿宋" w:eastAsia="仿宋_GB2312"/>
          <w:sz w:val="32"/>
          <w:szCs w:val="32"/>
        </w:rPr>
      </w:pPr>
    </w:p>
    <w:p>
      <w:pPr>
        <w:spacing w:before="312" w:beforeLines="100" w:line="360" w:lineRule="exact"/>
        <w:rPr>
          <w:rFonts w:ascii="黑体" w:hAnsi="黑体" w:eastAsia="黑体" w:cs="黑体"/>
          <w:spacing w:val="40"/>
          <w:sz w:val="28"/>
          <w:szCs w:val="28"/>
          <w:highlight w:val="none"/>
        </w:rPr>
      </w:pPr>
      <w:r>
        <w:rPr>
          <w:rFonts w:hint="eastAsia" w:ascii="黑体" w:hAnsi="黑体" w:eastAsia="黑体" w:cs="黑体"/>
          <w:spacing w:val="40"/>
          <w:sz w:val="28"/>
          <w:szCs w:val="28"/>
          <w:highlight w:val="none"/>
        </w:rPr>
        <w:t>附件1：</w:t>
      </w:r>
    </w:p>
    <w:p>
      <w:pPr>
        <w:adjustRightInd w:val="0"/>
        <w:snapToGrid w:val="0"/>
        <w:spacing w:line="0" w:lineRule="atLeast"/>
        <w:rPr>
          <w:rFonts w:ascii="方正小标宋_GBK" w:eastAsia="方正小标宋_GBK"/>
          <w:b/>
          <w:sz w:val="44"/>
          <w:szCs w:val="44"/>
          <w:highlight w:val="none"/>
        </w:rPr>
      </w:pPr>
    </w:p>
    <w:p>
      <w:pPr>
        <w:adjustRightInd w:val="0"/>
        <w:snapToGrid w:val="0"/>
        <w:spacing w:line="0" w:lineRule="atLeast"/>
        <w:rPr>
          <w:rFonts w:ascii="方正小标宋_GBK" w:eastAsia="方正小标宋_GBK"/>
          <w:b/>
          <w:sz w:val="44"/>
          <w:szCs w:val="44"/>
          <w:highlight w:val="none"/>
        </w:rPr>
      </w:pPr>
    </w:p>
    <w:p>
      <w:pPr>
        <w:adjustRightInd w:val="0"/>
        <w:snapToGrid w:val="0"/>
        <w:spacing w:line="0" w:lineRule="atLeast"/>
        <w:rPr>
          <w:rFonts w:ascii="方正小标宋_GBK" w:eastAsia="方正小标宋_GBK"/>
          <w:b/>
          <w:sz w:val="44"/>
          <w:szCs w:val="44"/>
          <w:highlight w:val="none"/>
        </w:rPr>
      </w:pPr>
    </w:p>
    <w:p>
      <w:pPr>
        <w:adjustRightInd w:val="0"/>
        <w:snapToGrid w:val="0"/>
        <w:spacing w:line="0" w:lineRule="atLeast"/>
        <w:jc w:val="distribute"/>
        <w:rPr>
          <w:rFonts w:ascii="方正小标宋_GBK" w:eastAsia="方正小标宋_GBK"/>
          <w:b/>
          <w:sz w:val="48"/>
          <w:szCs w:val="48"/>
          <w:highlight w:val="none"/>
        </w:rPr>
      </w:pPr>
    </w:p>
    <w:p>
      <w:pPr>
        <w:adjustRightInd w:val="0"/>
        <w:snapToGrid w:val="0"/>
        <w:spacing w:line="480" w:lineRule="auto"/>
        <w:jc w:val="center"/>
        <w:rPr>
          <w:rFonts w:ascii="仿宋_GB2312"/>
          <w:b/>
          <w:sz w:val="44"/>
          <w:szCs w:val="44"/>
          <w:highlight w:val="none"/>
        </w:rPr>
      </w:pPr>
      <w:bookmarkStart w:id="18" w:name="_GoBack"/>
      <w:r>
        <w:rPr>
          <w:rFonts w:hint="eastAsia" w:ascii="方正小标宋简体" w:eastAsia="方正小标宋简体"/>
          <w:b/>
          <w:bCs/>
          <w:spacing w:val="20"/>
          <w:sz w:val="44"/>
          <w:szCs w:val="44"/>
          <w:highlight w:val="none"/>
        </w:rPr>
        <w:t>蜀道物流集团</w:t>
      </w:r>
    </w:p>
    <w:p>
      <w:pPr>
        <w:adjustRightInd w:val="0"/>
        <w:snapToGrid w:val="0"/>
        <w:spacing w:line="480" w:lineRule="auto"/>
        <w:rPr>
          <w:rFonts w:ascii="仿宋_GB2312"/>
          <w:b/>
          <w:sz w:val="44"/>
          <w:szCs w:val="44"/>
          <w:highlight w:val="none"/>
        </w:rPr>
      </w:pPr>
    </w:p>
    <w:p>
      <w:pPr>
        <w:adjustRightInd w:val="0"/>
        <w:snapToGrid w:val="0"/>
        <w:spacing w:line="640" w:lineRule="exact"/>
        <w:jc w:val="center"/>
        <w:rPr>
          <w:rFonts w:ascii="方正小标宋简体" w:eastAsia="方正小标宋简体"/>
          <w:b/>
          <w:bCs/>
          <w:spacing w:val="20"/>
          <w:sz w:val="44"/>
          <w:szCs w:val="44"/>
          <w:highlight w:val="none"/>
        </w:rPr>
      </w:pPr>
      <w:r>
        <w:rPr>
          <w:rFonts w:hint="eastAsia" w:ascii="方正小标宋简体" w:eastAsia="方正小标宋简体"/>
          <w:b/>
          <w:bCs/>
          <w:spacing w:val="20"/>
          <w:sz w:val="44"/>
          <w:szCs w:val="44"/>
          <w:highlight w:val="none"/>
        </w:rPr>
        <w:t>专业化整合人力资源咨询服务项目</w:t>
      </w:r>
    </w:p>
    <w:p>
      <w:pPr>
        <w:adjustRightInd w:val="0"/>
        <w:snapToGrid w:val="0"/>
        <w:spacing w:line="640" w:lineRule="exact"/>
        <w:jc w:val="center"/>
        <w:rPr>
          <w:rFonts w:ascii="方正小标宋_GBK" w:eastAsia="方正小标宋_GBK"/>
          <w:b/>
          <w:spacing w:val="60"/>
          <w:sz w:val="44"/>
          <w:szCs w:val="44"/>
          <w:highlight w:val="none"/>
        </w:rPr>
      </w:pPr>
    </w:p>
    <w:p>
      <w:pPr>
        <w:adjustRightInd w:val="0"/>
        <w:snapToGrid w:val="0"/>
        <w:spacing w:line="640" w:lineRule="exact"/>
        <w:jc w:val="center"/>
        <w:rPr>
          <w:rFonts w:ascii="方正小标宋_GBK" w:eastAsia="方正小标宋_GBK"/>
          <w:b/>
          <w:spacing w:val="60"/>
          <w:sz w:val="44"/>
          <w:szCs w:val="44"/>
          <w:highlight w:val="none"/>
        </w:rPr>
      </w:pPr>
    </w:p>
    <w:p>
      <w:pPr>
        <w:adjustRightInd w:val="0"/>
        <w:snapToGrid w:val="0"/>
        <w:spacing w:line="640" w:lineRule="exact"/>
        <w:jc w:val="center"/>
        <w:rPr>
          <w:rFonts w:ascii="方正小标宋_GBK" w:eastAsia="方正小标宋_GBK"/>
          <w:b/>
          <w:spacing w:val="60"/>
          <w:sz w:val="44"/>
          <w:szCs w:val="44"/>
          <w:highlight w:val="none"/>
        </w:rPr>
      </w:pPr>
    </w:p>
    <w:p>
      <w:pPr>
        <w:adjustRightInd w:val="0"/>
        <w:snapToGrid w:val="0"/>
        <w:spacing w:line="640" w:lineRule="exact"/>
        <w:jc w:val="center"/>
        <w:rPr>
          <w:rFonts w:ascii="方正小标宋_GBK" w:eastAsia="方正小标宋_GBK"/>
          <w:b/>
          <w:spacing w:val="60"/>
          <w:sz w:val="44"/>
          <w:szCs w:val="44"/>
          <w:highlight w:val="none"/>
        </w:rPr>
      </w:pPr>
      <w:r>
        <w:rPr>
          <w:rFonts w:hint="eastAsia" w:ascii="方正小标宋简体" w:eastAsia="方正小标宋简体"/>
          <w:b/>
          <w:bCs/>
          <w:spacing w:val="20"/>
          <w:sz w:val="44"/>
          <w:szCs w:val="44"/>
          <w:highlight w:val="none"/>
        </w:rPr>
        <w:t>比选文件</w:t>
      </w:r>
    </w:p>
    <w:bookmarkEnd w:id="18"/>
    <w:p>
      <w:pPr>
        <w:spacing w:before="312" w:beforeLines="100" w:after="312" w:afterLines="100" w:line="640" w:lineRule="exact"/>
        <w:jc w:val="center"/>
        <w:rPr>
          <w:rFonts w:ascii="方正小标宋_GBK" w:eastAsia="方正小标宋_GBK"/>
          <w:b/>
          <w:sz w:val="44"/>
          <w:szCs w:val="44"/>
          <w:highlight w:val="none"/>
        </w:rPr>
      </w:pPr>
    </w:p>
    <w:p>
      <w:pPr>
        <w:wordWrap w:val="0"/>
        <w:ind w:right="-153" w:rightChars="-73"/>
        <w:jc w:val="right"/>
        <w:rPr>
          <w:rFonts w:eastAsia="仿宋_GB2312"/>
          <w:color w:val="000000"/>
          <w:szCs w:val="28"/>
          <w:highlight w:val="none"/>
        </w:rPr>
      </w:pPr>
    </w:p>
    <w:p>
      <w:pPr>
        <w:spacing w:line="0" w:lineRule="atLeast"/>
        <w:rPr>
          <w:rFonts w:ascii="方正小标宋_GBK" w:eastAsia="方正小标宋_GBK"/>
          <w:b/>
          <w:sz w:val="28"/>
          <w:szCs w:val="44"/>
          <w:highlight w:val="none"/>
        </w:rPr>
      </w:pPr>
    </w:p>
    <w:p>
      <w:pPr>
        <w:spacing w:line="0" w:lineRule="atLeast"/>
        <w:jc w:val="center"/>
        <w:rPr>
          <w:rFonts w:ascii="方正小标宋_GBK" w:eastAsia="方正小标宋_GBK"/>
          <w:b/>
          <w:sz w:val="28"/>
          <w:szCs w:val="28"/>
          <w:highlight w:val="none"/>
        </w:rPr>
      </w:pPr>
      <w:r>
        <w:rPr>
          <w:rFonts w:hint="eastAsia" w:ascii="方正小标宋_GBK" w:eastAsia="方正小标宋_GBK"/>
          <w:b/>
          <w:sz w:val="28"/>
          <w:szCs w:val="28"/>
          <w:highlight w:val="none"/>
        </w:rPr>
        <w:t>二 〇 二 一</w:t>
      </w:r>
      <w:r>
        <w:rPr>
          <w:rFonts w:ascii="方正小标宋_GBK" w:eastAsia="方正小标宋_GBK"/>
          <w:b/>
          <w:sz w:val="28"/>
          <w:szCs w:val="28"/>
          <w:highlight w:val="none"/>
        </w:rPr>
        <w:t xml:space="preserve">  </w:t>
      </w:r>
      <w:r>
        <w:rPr>
          <w:rFonts w:hint="eastAsia" w:ascii="方正小标宋_GBK" w:eastAsia="方正小标宋_GBK"/>
          <w:b/>
          <w:sz w:val="28"/>
          <w:szCs w:val="28"/>
          <w:highlight w:val="none"/>
        </w:rPr>
        <w:t xml:space="preserve">年 </w:t>
      </w:r>
      <w:r>
        <w:rPr>
          <w:rFonts w:ascii="方正小标宋_GBK" w:eastAsia="方正小标宋_GBK"/>
          <w:b/>
          <w:sz w:val="28"/>
          <w:szCs w:val="28"/>
          <w:highlight w:val="none"/>
        </w:rPr>
        <w:t xml:space="preserve">  </w:t>
      </w:r>
      <w:r>
        <w:rPr>
          <w:rFonts w:hint="eastAsia" w:ascii="方正小标宋_GBK" w:eastAsia="方正小标宋_GBK"/>
          <w:b/>
          <w:sz w:val="28"/>
          <w:szCs w:val="28"/>
          <w:highlight w:val="none"/>
        </w:rPr>
        <w:t>十一</w:t>
      </w:r>
      <w:r>
        <w:rPr>
          <w:rFonts w:ascii="方正小标宋_GBK" w:eastAsia="方正小标宋_GBK"/>
          <w:b/>
          <w:sz w:val="28"/>
          <w:szCs w:val="28"/>
          <w:highlight w:val="none"/>
        </w:rPr>
        <w:t xml:space="preserve">  </w:t>
      </w:r>
      <w:r>
        <w:rPr>
          <w:rFonts w:hint="eastAsia" w:ascii="方正小标宋_GBK" w:eastAsia="方正小标宋_GBK"/>
          <w:b/>
          <w:sz w:val="28"/>
          <w:szCs w:val="28"/>
          <w:highlight w:val="none"/>
        </w:rPr>
        <w:t>月</w:t>
      </w:r>
    </w:p>
    <w:p>
      <w:pPr>
        <w:spacing w:before="312" w:beforeLines="100" w:line="360" w:lineRule="exact"/>
        <w:jc w:val="left"/>
        <w:rPr>
          <w:rFonts w:ascii="方正小标宋_GBK" w:hAnsi="仿宋" w:eastAsia="方正小标宋_GBK"/>
          <w:b/>
          <w:bCs/>
          <w:spacing w:val="40"/>
          <w:sz w:val="32"/>
          <w:szCs w:val="32"/>
          <w:highlight w:val="none"/>
        </w:rPr>
      </w:pPr>
    </w:p>
    <w:p>
      <w:pPr>
        <w:widowControl/>
        <w:jc w:val="left"/>
        <w:rPr>
          <w:rFonts w:ascii="黑体" w:hAnsi="黑体" w:eastAsia="黑体"/>
          <w:b/>
          <w:bCs/>
          <w:caps/>
          <w:sz w:val="44"/>
          <w:szCs w:val="44"/>
          <w:highlight w:val="none"/>
        </w:rPr>
      </w:pPr>
      <w:bookmarkStart w:id="0" w:name="_Toc448516841"/>
      <w:r>
        <w:rPr>
          <w:rFonts w:ascii="黑体" w:hAnsi="黑体" w:eastAsia="黑体"/>
          <w:sz w:val="44"/>
          <w:szCs w:val="44"/>
          <w:highlight w:val="none"/>
        </w:rPr>
        <w:br w:type="page"/>
      </w:r>
    </w:p>
    <w:p>
      <w:pPr>
        <w:pStyle w:val="10"/>
        <w:rPr>
          <w:rFonts w:ascii="黑体" w:hAnsi="黑体" w:eastAsia="黑体"/>
          <w:sz w:val="44"/>
          <w:szCs w:val="44"/>
          <w:highlight w:val="none"/>
        </w:rPr>
      </w:pPr>
      <w:r>
        <w:rPr>
          <w:rFonts w:hint="eastAsia" w:ascii="黑体" w:hAnsi="黑体" w:eastAsia="黑体"/>
          <w:sz w:val="44"/>
          <w:szCs w:val="44"/>
          <w:highlight w:val="none"/>
        </w:rPr>
        <w:t>目录</w:t>
      </w:r>
    </w:p>
    <w:p>
      <w:pPr>
        <w:pStyle w:val="10"/>
        <w:jc w:val="left"/>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一、比选公告</w:t>
      </w:r>
      <w:r>
        <w:rPr>
          <w:rFonts w:hint="eastAsia" w:ascii="仿宋_GB2312" w:hAnsi="仿宋_GB2312" w:eastAsia="仿宋_GB2312" w:cs="仿宋_GB2312"/>
          <w:b w:val="0"/>
          <w:bCs w:val="0"/>
          <w:sz w:val="32"/>
          <w:szCs w:val="32"/>
          <w:highlight w:val="none"/>
        </w:rPr>
        <w:tab/>
      </w:r>
      <w:r>
        <w:rPr>
          <w:rFonts w:hint="eastAsia" w:ascii="仿宋_GB2312" w:hAnsi="仿宋_GB2312" w:eastAsia="仿宋_GB2312" w:cs="仿宋_GB2312"/>
          <w:b w:val="0"/>
          <w:bCs w:val="0"/>
          <w:sz w:val="32"/>
          <w:szCs w:val="32"/>
          <w:highlight w:val="none"/>
        </w:rPr>
        <w:t>3</w:t>
      </w:r>
    </w:p>
    <w:p>
      <w:pPr>
        <w:pStyle w:val="10"/>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fldChar w:fldCharType="begin"/>
      </w:r>
      <w:r>
        <w:rPr>
          <w:rFonts w:hint="eastAsia" w:ascii="仿宋_GB2312" w:hAnsi="仿宋_GB2312" w:eastAsia="仿宋_GB2312" w:cs="仿宋_GB2312"/>
          <w:b w:val="0"/>
          <w:bCs w:val="0"/>
          <w:sz w:val="32"/>
          <w:szCs w:val="32"/>
          <w:highlight w:val="none"/>
        </w:rPr>
        <w:instrText xml:space="preserve"> TOC \o "1-1" </w:instrText>
      </w:r>
      <w:r>
        <w:rPr>
          <w:rFonts w:hint="eastAsia" w:ascii="仿宋_GB2312" w:hAnsi="仿宋_GB2312" w:eastAsia="仿宋_GB2312" w:cs="仿宋_GB2312"/>
          <w:b w:val="0"/>
          <w:bCs w:val="0"/>
          <w:sz w:val="32"/>
          <w:szCs w:val="32"/>
          <w:highlight w:val="none"/>
        </w:rPr>
        <w:fldChar w:fldCharType="separate"/>
      </w:r>
      <w:r>
        <w:rPr>
          <w:rFonts w:hint="eastAsia" w:ascii="仿宋_GB2312" w:hAnsi="仿宋_GB2312" w:eastAsia="仿宋_GB2312" w:cs="仿宋_GB2312"/>
          <w:b w:val="0"/>
          <w:bCs w:val="0"/>
          <w:sz w:val="32"/>
          <w:szCs w:val="32"/>
          <w:highlight w:val="none"/>
        </w:rPr>
        <w:t>二、比选应遵循的原则</w:t>
      </w:r>
      <w:r>
        <w:rPr>
          <w:rFonts w:hint="eastAsia" w:ascii="仿宋_GB2312" w:hAnsi="仿宋_GB2312" w:eastAsia="仿宋_GB2312" w:cs="仿宋_GB2312"/>
          <w:b w:val="0"/>
          <w:bCs w:val="0"/>
          <w:sz w:val="32"/>
          <w:szCs w:val="32"/>
          <w:highlight w:val="none"/>
        </w:rPr>
        <w:tab/>
      </w:r>
      <w:r>
        <w:rPr>
          <w:rFonts w:ascii="仿宋_GB2312" w:hAnsi="仿宋_GB2312" w:eastAsia="仿宋_GB2312" w:cs="仿宋_GB2312"/>
          <w:b w:val="0"/>
          <w:bCs w:val="0"/>
          <w:sz w:val="32"/>
          <w:szCs w:val="32"/>
          <w:highlight w:val="none"/>
        </w:rPr>
        <w:t>8</w:t>
      </w:r>
    </w:p>
    <w:p>
      <w:pPr>
        <w:pStyle w:val="10"/>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三、中选准则</w:t>
      </w:r>
      <w:r>
        <w:rPr>
          <w:rFonts w:hint="eastAsia" w:ascii="仿宋_GB2312" w:hAnsi="仿宋_GB2312" w:eastAsia="仿宋_GB2312" w:cs="仿宋_GB2312"/>
          <w:b w:val="0"/>
          <w:bCs w:val="0"/>
          <w:sz w:val="32"/>
          <w:szCs w:val="32"/>
          <w:highlight w:val="none"/>
        </w:rPr>
        <w:tab/>
      </w:r>
      <w:r>
        <w:rPr>
          <w:rFonts w:hint="eastAsia" w:ascii="仿宋_GB2312" w:hAnsi="仿宋_GB2312" w:eastAsia="仿宋_GB2312" w:cs="仿宋_GB2312"/>
          <w:b w:val="0"/>
          <w:bCs w:val="0"/>
          <w:sz w:val="32"/>
          <w:szCs w:val="32"/>
          <w:highlight w:val="none"/>
        </w:rPr>
        <w:fldChar w:fldCharType="begin"/>
      </w:r>
      <w:r>
        <w:rPr>
          <w:rFonts w:hint="eastAsia" w:ascii="仿宋_GB2312" w:hAnsi="仿宋_GB2312" w:eastAsia="仿宋_GB2312" w:cs="仿宋_GB2312"/>
          <w:b w:val="0"/>
          <w:bCs w:val="0"/>
          <w:sz w:val="32"/>
          <w:szCs w:val="32"/>
          <w:highlight w:val="none"/>
        </w:rPr>
        <w:instrText xml:space="preserve"> PAGEREF _Toc1301421 \h </w:instrText>
      </w:r>
      <w:r>
        <w:rPr>
          <w:rFonts w:hint="eastAsia" w:ascii="仿宋_GB2312" w:hAnsi="仿宋_GB2312" w:eastAsia="仿宋_GB2312" w:cs="仿宋_GB2312"/>
          <w:b w:val="0"/>
          <w:bCs w:val="0"/>
          <w:sz w:val="32"/>
          <w:szCs w:val="32"/>
          <w:highlight w:val="none"/>
        </w:rPr>
        <w:fldChar w:fldCharType="separate"/>
      </w:r>
      <w:r>
        <w:rPr>
          <w:rFonts w:hint="eastAsia" w:ascii="仿宋_GB2312" w:hAnsi="仿宋_GB2312" w:eastAsia="仿宋_GB2312" w:cs="仿宋_GB2312"/>
          <w:b w:val="0"/>
          <w:bCs w:val="0"/>
          <w:sz w:val="32"/>
          <w:szCs w:val="32"/>
          <w:highlight w:val="none"/>
        </w:rPr>
        <w:t>12</w:t>
      </w:r>
      <w:r>
        <w:rPr>
          <w:rFonts w:hint="eastAsia" w:ascii="仿宋_GB2312" w:hAnsi="仿宋_GB2312" w:eastAsia="仿宋_GB2312" w:cs="仿宋_GB2312"/>
          <w:b w:val="0"/>
          <w:bCs w:val="0"/>
          <w:sz w:val="32"/>
          <w:szCs w:val="32"/>
          <w:highlight w:val="none"/>
        </w:rPr>
        <w:fldChar w:fldCharType="end"/>
      </w:r>
    </w:p>
    <w:p>
      <w:pPr>
        <w:pStyle w:val="10"/>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四、比选程序</w:t>
      </w:r>
      <w:r>
        <w:rPr>
          <w:rFonts w:hint="eastAsia" w:ascii="仿宋_GB2312" w:hAnsi="仿宋_GB2312" w:eastAsia="仿宋_GB2312" w:cs="仿宋_GB2312"/>
          <w:b w:val="0"/>
          <w:bCs w:val="0"/>
          <w:sz w:val="32"/>
          <w:szCs w:val="32"/>
          <w:highlight w:val="none"/>
        </w:rPr>
        <w:tab/>
      </w:r>
      <w:r>
        <w:rPr>
          <w:rFonts w:hint="eastAsia" w:ascii="仿宋_GB2312" w:hAnsi="仿宋_GB2312" w:eastAsia="仿宋_GB2312" w:cs="仿宋_GB2312"/>
          <w:b w:val="0"/>
          <w:bCs w:val="0"/>
          <w:sz w:val="32"/>
          <w:szCs w:val="32"/>
          <w:highlight w:val="none"/>
        </w:rPr>
        <w:fldChar w:fldCharType="begin"/>
      </w:r>
      <w:r>
        <w:rPr>
          <w:rFonts w:hint="eastAsia" w:ascii="仿宋_GB2312" w:hAnsi="仿宋_GB2312" w:eastAsia="仿宋_GB2312" w:cs="仿宋_GB2312"/>
          <w:b w:val="0"/>
          <w:bCs w:val="0"/>
          <w:sz w:val="32"/>
          <w:szCs w:val="32"/>
          <w:highlight w:val="none"/>
        </w:rPr>
        <w:instrText xml:space="preserve"> PAGEREF _Toc1301422 \h </w:instrText>
      </w:r>
      <w:r>
        <w:rPr>
          <w:rFonts w:hint="eastAsia" w:ascii="仿宋_GB2312" w:hAnsi="仿宋_GB2312" w:eastAsia="仿宋_GB2312" w:cs="仿宋_GB2312"/>
          <w:b w:val="0"/>
          <w:bCs w:val="0"/>
          <w:sz w:val="32"/>
          <w:szCs w:val="32"/>
          <w:highlight w:val="none"/>
        </w:rPr>
        <w:fldChar w:fldCharType="separate"/>
      </w:r>
      <w:r>
        <w:rPr>
          <w:rFonts w:hint="eastAsia" w:ascii="仿宋_GB2312" w:hAnsi="仿宋_GB2312" w:eastAsia="仿宋_GB2312" w:cs="仿宋_GB2312"/>
          <w:b w:val="0"/>
          <w:bCs w:val="0"/>
          <w:sz w:val="32"/>
          <w:szCs w:val="32"/>
          <w:highlight w:val="none"/>
        </w:rPr>
        <w:t>13</w:t>
      </w:r>
      <w:r>
        <w:rPr>
          <w:rFonts w:hint="eastAsia" w:ascii="仿宋_GB2312" w:hAnsi="仿宋_GB2312" w:eastAsia="仿宋_GB2312" w:cs="仿宋_GB2312"/>
          <w:b w:val="0"/>
          <w:bCs w:val="0"/>
          <w:sz w:val="32"/>
          <w:szCs w:val="32"/>
          <w:highlight w:val="none"/>
        </w:rPr>
        <w:fldChar w:fldCharType="end"/>
      </w:r>
    </w:p>
    <w:p>
      <w:pPr>
        <w:pStyle w:val="10"/>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五、比选参选人应注意的事项</w:t>
      </w:r>
      <w:r>
        <w:rPr>
          <w:rFonts w:hint="eastAsia" w:ascii="仿宋_GB2312" w:hAnsi="仿宋_GB2312" w:eastAsia="仿宋_GB2312" w:cs="仿宋_GB2312"/>
          <w:b w:val="0"/>
          <w:bCs w:val="0"/>
          <w:sz w:val="32"/>
          <w:szCs w:val="32"/>
          <w:highlight w:val="none"/>
        </w:rPr>
        <w:tab/>
      </w:r>
      <w:r>
        <w:rPr>
          <w:rFonts w:hint="eastAsia" w:ascii="仿宋_GB2312" w:hAnsi="仿宋_GB2312" w:eastAsia="仿宋_GB2312" w:cs="仿宋_GB2312"/>
          <w:b w:val="0"/>
          <w:bCs w:val="0"/>
          <w:sz w:val="32"/>
          <w:szCs w:val="32"/>
          <w:highlight w:val="none"/>
        </w:rPr>
        <w:fldChar w:fldCharType="begin"/>
      </w:r>
      <w:r>
        <w:rPr>
          <w:rFonts w:hint="eastAsia" w:ascii="仿宋_GB2312" w:hAnsi="仿宋_GB2312" w:eastAsia="仿宋_GB2312" w:cs="仿宋_GB2312"/>
          <w:b w:val="0"/>
          <w:bCs w:val="0"/>
          <w:sz w:val="32"/>
          <w:szCs w:val="32"/>
          <w:highlight w:val="none"/>
        </w:rPr>
        <w:instrText xml:space="preserve"> PAGEREF _Toc1301423 \h </w:instrText>
      </w:r>
      <w:r>
        <w:rPr>
          <w:rFonts w:hint="eastAsia" w:ascii="仿宋_GB2312" w:hAnsi="仿宋_GB2312" w:eastAsia="仿宋_GB2312" w:cs="仿宋_GB2312"/>
          <w:b w:val="0"/>
          <w:bCs w:val="0"/>
          <w:sz w:val="32"/>
          <w:szCs w:val="32"/>
          <w:highlight w:val="none"/>
        </w:rPr>
        <w:fldChar w:fldCharType="separate"/>
      </w:r>
      <w:r>
        <w:rPr>
          <w:rFonts w:hint="eastAsia" w:ascii="仿宋_GB2312" w:hAnsi="仿宋_GB2312" w:eastAsia="仿宋_GB2312" w:cs="仿宋_GB2312"/>
          <w:b w:val="0"/>
          <w:bCs w:val="0"/>
          <w:sz w:val="32"/>
          <w:szCs w:val="32"/>
          <w:highlight w:val="none"/>
        </w:rPr>
        <w:t>13</w:t>
      </w:r>
      <w:r>
        <w:rPr>
          <w:rFonts w:hint="eastAsia" w:ascii="仿宋_GB2312" w:hAnsi="仿宋_GB2312" w:eastAsia="仿宋_GB2312" w:cs="仿宋_GB2312"/>
          <w:b w:val="0"/>
          <w:bCs w:val="0"/>
          <w:sz w:val="32"/>
          <w:szCs w:val="32"/>
          <w:highlight w:val="none"/>
        </w:rPr>
        <w:fldChar w:fldCharType="end"/>
      </w:r>
    </w:p>
    <w:p>
      <w:pPr>
        <w:pStyle w:val="10"/>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六、比选办法</w:t>
      </w:r>
      <w:r>
        <w:rPr>
          <w:rFonts w:hint="eastAsia" w:ascii="仿宋_GB2312" w:hAnsi="仿宋_GB2312" w:eastAsia="仿宋_GB2312" w:cs="仿宋_GB2312"/>
          <w:b w:val="0"/>
          <w:bCs w:val="0"/>
          <w:sz w:val="32"/>
          <w:szCs w:val="32"/>
          <w:highlight w:val="none"/>
        </w:rPr>
        <w:tab/>
      </w:r>
      <w:r>
        <w:rPr>
          <w:rFonts w:hint="eastAsia" w:ascii="仿宋_GB2312" w:hAnsi="仿宋_GB2312" w:eastAsia="仿宋_GB2312" w:cs="仿宋_GB2312"/>
          <w:b w:val="0"/>
          <w:bCs w:val="0"/>
          <w:sz w:val="32"/>
          <w:szCs w:val="32"/>
          <w:highlight w:val="none"/>
        </w:rPr>
        <w:fldChar w:fldCharType="begin"/>
      </w:r>
      <w:r>
        <w:rPr>
          <w:rFonts w:hint="eastAsia" w:ascii="仿宋_GB2312" w:hAnsi="仿宋_GB2312" w:eastAsia="仿宋_GB2312" w:cs="仿宋_GB2312"/>
          <w:b w:val="0"/>
          <w:bCs w:val="0"/>
          <w:sz w:val="32"/>
          <w:szCs w:val="32"/>
          <w:highlight w:val="none"/>
        </w:rPr>
        <w:instrText xml:space="preserve"> PAGEREF _Toc1301424 \h </w:instrText>
      </w:r>
      <w:r>
        <w:rPr>
          <w:rFonts w:hint="eastAsia" w:ascii="仿宋_GB2312" w:hAnsi="仿宋_GB2312" w:eastAsia="仿宋_GB2312" w:cs="仿宋_GB2312"/>
          <w:b w:val="0"/>
          <w:bCs w:val="0"/>
          <w:sz w:val="32"/>
          <w:szCs w:val="32"/>
          <w:highlight w:val="none"/>
        </w:rPr>
        <w:fldChar w:fldCharType="separate"/>
      </w:r>
      <w:r>
        <w:rPr>
          <w:rFonts w:hint="eastAsia" w:ascii="仿宋_GB2312" w:hAnsi="仿宋_GB2312" w:eastAsia="仿宋_GB2312" w:cs="仿宋_GB2312"/>
          <w:b w:val="0"/>
          <w:bCs w:val="0"/>
          <w:sz w:val="32"/>
          <w:szCs w:val="32"/>
          <w:highlight w:val="none"/>
        </w:rPr>
        <w:t>18</w:t>
      </w:r>
      <w:r>
        <w:rPr>
          <w:rFonts w:hint="eastAsia" w:ascii="仿宋_GB2312" w:hAnsi="仿宋_GB2312" w:eastAsia="仿宋_GB2312" w:cs="仿宋_GB2312"/>
          <w:b w:val="0"/>
          <w:bCs w:val="0"/>
          <w:sz w:val="32"/>
          <w:szCs w:val="32"/>
          <w:highlight w:val="none"/>
        </w:rPr>
        <w:fldChar w:fldCharType="end"/>
      </w:r>
    </w:p>
    <w:p>
      <w:pPr>
        <w:pStyle w:val="1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附件一：比选申请书格式</w:t>
      </w:r>
      <w:r>
        <w:rPr>
          <w:rFonts w:hint="eastAsia" w:ascii="仿宋_GB2312" w:hAnsi="仿宋_GB2312" w:eastAsia="仿宋_GB2312" w:cs="仿宋_GB2312"/>
          <w:b w:val="0"/>
          <w:bCs w:val="0"/>
          <w:sz w:val="32"/>
          <w:szCs w:val="32"/>
          <w:highlight w:val="none"/>
        </w:rPr>
        <w:tab/>
      </w:r>
      <w:r>
        <w:rPr>
          <w:rFonts w:hint="eastAsia" w:ascii="仿宋_GB2312" w:hAnsi="仿宋_GB2312" w:eastAsia="仿宋_GB2312" w:cs="仿宋_GB2312"/>
          <w:b w:val="0"/>
          <w:bCs w:val="0"/>
          <w:sz w:val="32"/>
          <w:szCs w:val="32"/>
          <w:highlight w:val="none"/>
          <w:lang w:val="en-US" w:eastAsia="zh-CN"/>
        </w:rPr>
        <w:t>21</w:t>
      </w:r>
    </w:p>
    <w:p>
      <w:pPr>
        <w:pStyle w:val="10"/>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附件二：法定代表人授权书格式</w:t>
      </w:r>
      <w:r>
        <w:rPr>
          <w:rFonts w:hint="eastAsia" w:ascii="仿宋_GB2312" w:hAnsi="仿宋_GB2312" w:eastAsia="仿宋_GB2312" w:cs="仿宋_GB2312"/>
          <w:b w:val="0"/>
          <w:bCs w:val="0"/>
          <w:sz w:val="32"/>
          <w:szCs w:val="32"/>
          <w:highlight w:val="none"/>
        </w:rPr>
        <w:tab/>
      </w:r>
      <w:r>
        <w:rPr>
          <w:rFonts w:hint="eastAsia" w:ascii="仿宋_GB2312" w:hAnsi="仿宋_GB2312" w:eastAsia="仿宋_GB2312" w:cs="仿宋_GB2312"/>
          <w:b w:val="0"/>
          <w:bCs w:val="0"/>
          <w:sz w:val="32"/>
          <w:szCs w:val="32"/>
          <w:highlight w:val="none"/>
          <w:lang w:val="en-US" w:eastAsia="zh-CN"/>
        </w:rPr>
        <w:t>24</w:t>
      </w:r>
    </w:p>
    <w:p>
      <w:pPr>
        <w:pStyle w:val="10"/>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附件三：项目小组构成及成员基本情况</w:t>
      </w:r>
      <w:r>
        <w:rPr>
          <w:rFonts w:hint="eastAsia" w:ascii="仿宋_GB2312" w:hAnsi="仿宋_GB2312" w:eastAsia="仿宋_GB2312" w:cs="仿宋_GB2312"/>
          <w:b w:val="0"/>
          <w:bCs w:val="0"/>
          <w:sz w:val="32"/>
          <w:szCs w:val="32"/>
          <w:highlight w:val="none"/>
        </w:rPr>
        <w:tab/>
      </w:r>
      <w:r>
        <w:rPr>
          <w:rFonts w:hint="eastAsia" w:ascii="仿宋_GB2312" w:hAnsi="仿宋_GB2312" w:eastAsia="仿宋_GB2312" w:cs="仿宋_GB2312"/>
          <w:b w:val="0"/>
          <w:bCs w:val="0"/>
          <w:sz w:val="32"/>
          <w:szCs w:val="32"/>
          <w:highlight w:val="none"/>
        </w:rPr>
        <w:fldChar w:fldCharType="begin"/>
      </w:r>
      <w:r>
        <w:rPr>
          <w:rFonts w:hint="eastAsia" w:ascii="仿宋_GB2312" w:hAnsi="仿宋_GB2312" w:eastAsia="仿宋_GB2312" w:cs="仿宋_GB2312"/>
          <w:b w:val="0"/>
          <w:bCs w:val="0"/>
          <w:sz w:val="32"/>
          <w:szCs w:val="32"/>
          <w:highlight w:val="none"/>
        </w:rPr>
        <w:instrText xml:space="preserve"> PAGEREF _Toc1301427 \h </w:instrText>
      </w:r>
      <w:r>
        <w:rPr>
          <w:rFonts w:hint="eastAsia" w:ascii="仿宋_GB2312" w:hAnsi="仿宋_GB2312" w:eastAsia="仿宋_GB2312" w:cs="仿宋_GB2312"/>
          <w:b w:val="0"/>
          <w:bCs w:val="0"/>
          <w:sz w:val="32"/>
          <w:szCs w:val="32"/>
          <w:highlight w:val="none"/>
        </w:rPr>
        <w:fldChar w:fldCharType="separate"/>
      </w:r>
      <w:r>
        <w:rPr>
          <w:rFonts w:hint="eastAsia" w:ascii="仿宋_GB2312" w:hAnsi="仿宋_GB2312" w:eastAsia="仿宋_GB2312" w:cs="仿宋_GB2312"/>
          <w:b w:val="0"/>
          <w:bCs w:val="0"/>
          <w:sz w:val="32"/>
          <w:szCs w:val="32"/>
          <w:highlight w:val="none"/>
        </w:rPr>
        <w:t>25</w:t>
      </w:r>
      <w:r>
        <w:rPr>
          <w:rFonts w:hint="eastAsia" w:ascii="仿宋_GB2312" w:hAnsi="仿宋_GB2312" w:eastAsia="仿宋_GB2312" w:cs="仿宋_GB2312"/>
          <w:b w:val="0"/>
          <w:bCs w:val="0"/>
          <w:sz w:val="32"/>
          <w:szCs w:val="32"/>
          <w:highlight w:val="none"/>
        </w:rPr>
        <w:fldChar w:fldCharType="end"/>
      </w:r>
    </w:p>
    <w:p>
      <w:pPr>
        <w:pStyle w:val="10"/>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附件四：比选报价表格式：</w:t>
      </w:r>
      <w:r>
        <w:rPr>
          <w:rFonts w:hint="eastAsia" w:ascii="仿宋_GB2312" w:hAnsi="仿宋_GB2312" w:eastAsia="仿宋_GB2312" w:cs="仿宋_GB2312"/>
          <w:b w:val="0"/>
          <w:bCs w:val="0"/>
          <w:sz w:val="32"/>
          <w:szCs w:val="32"/>
          <w:highlight w:val="none"/>
        </w:rPr>
        <w:tab/>
      </w:r>
      <w:r>
        <w:rPr>
          <w:rFonts w:hint="eastAsia" w:ascii="仿宋_GB2312" w:hAnsi="仿宋_GB2312" w:eastAsia="仿宋_GB2312" w:cs="仿宋_GB2312"/>
          <w:b w:val="0"/>
          <w:bCs w:val="0"/>
          <w:sz w:val="32"/>
          <w:szCs w:val="32"/>
          <w:highlight w:val="none"/>
          <w:lang w:val="en-US" w:eastAsia="zh-CN"/>
        </w:rPr>
        <w:t>27</w:t>
      </w:r>
    </w:p>
    <w:p>
      <w:pPr>
        <w:pStyle w:val="10"/>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附件五：承诺书</w:t>
      </w:r>
      <w:r>
        <w:rPr>
          <w:rFonts w:hint="eastAsia" w:ascii="仿宋_GB2312" w:hAnsi="仿宋_GB2312" w:eastAsia="仿宋_GB2312" w:cs="仿宋_GB2312"/>
          <w:b w:val="0"/>
          <w:bCs w:val="0"/>
          <w:sz w:val="32"/>
          <w:szCs w:val="32"/>
          <w:highlight w:val="none"/>
        </w:rPr>
        <w:tab/>
      </w:r>
      <w:r>
        <w:rPr>
          <w:rFonts w:hint="eastAsia" w:ascii="仿宋_GB2312" w:hAnsi="仿宋_GB2312" w:eastAsia="仿宋_GB2312" w:cs="仿宋_GB2312"/>
          <w:b w:val="0"/>
          <w:bCs w:val="0"/>
          <w:sz w:val="32"/>
          <w:szCs w:val="32"/>
          <w:highlight w:val="none"/>
          <w:lang w:val="en-US" w:eastAsia="zh-CN"/>
        </w:rPr>
        <w:t>28</w:t>
      </w:r>
    </w:p>
    <w:p>
      <w:pPr>
        <w:pStyle w:val="10"/>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附件六：保密承诺函</w:t>
      </w:r>
      <w:r>
        <w:rPr>
          <w:rFonts w:hint="eastAsia" w:ascii="仿宋_GB2312" w:hAnsi="仿宋_GB2312" w:eastAsia="仿宋_GB2312" w:cs="仿宋_GB2312"/>
          <w:b w:val="0"/>
          <w:bCs w:val="0"/>
          <w:sz w:val="32"/>
          <w:szCs w:val="32"/>
          <w:highlight w:val="none"/>
        </w:rPr>
        <w:tab/>
      </w:r>
      <w:r>
        <w:rPr>
          <w:rFonts w:hint="eastAsia" w:ascii="仿宋_GB2312" w:hAnsi="仿宋_GB2312" w:eastAsia="仿宋_GB2312" w:cs="仿宋_GB2312"/>
          <w:b w:val="0"/>
          <w:bCs w:val="0"/>
          <w:sz w:val="32"/>
          <w:szCs w:val="32"/>
          <w:highlight w:val="none"/>
          <w:lang w:val="en-US" w:eastAsia="zh-CN"/>
        </w:rPr>
        <w:t>30</w:t>
      </w:r>
    </w:p>
    <w:p>
      <w:pPr>
        <w:pStyle w:val="10"/>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附件七：评审标准</w:t>
      </w:r>
      <w:r>
        <w:rPr>
          <w:rFonts w:hint="eastAsia" w:ascii="仿宋_GB2312" w:hAnsi="仿宋_GB2312" w:eastAsia="仿宋_GB2312" w:cs="仿宋_GB2312"/>
          <w:b w:val="0"/>
          <w:bCs w:val="0"/>
          <w:sz w:val="32"/>
          <w:szCs w:val="32"/>
          <w:highlight w:val="none"/>
        </w:rPr>
        <w:tab/>
      </w:r>
      <w:r>
        <w:rPr>
          <w:rFonts w:hint="eastAsia" w:ascii="仿宋_GB2312" w:hAnsi="仿宋_GB2312" w:eastAsia="仿宋_GB2312" w:cs="仿宋_GB2312"/>
          <w:b w:val="0"/>
          <w:bCs w:val="0"/>
          <w:sz w:val="32"/>
          <w:szCs w:val="32"/>
          <w:highlight w:val="none"/>
        </w:rPr>
        <w:fldChar w:fldCharType="begin"/>
      </w:r>
      <w:r>
        <w:rPr>
          <w:rFonts w:hint="eastAsia" w:ascii="仿宋_GB2312" w:hAnsi="仿宋_GB2312" w:eastAsia="仿宋_GB2312" w:cs="仿宋_GB2312"/>
          <w:b w:val="0"/>
          <w:bCs w:val="0"/>
          <w:sz w:val="32"/>
          <w:szCs w:val="32"/>
          <w:highlight w:val="none"/>
        </w:rPr>
        <w:instrText xml:space="preserve"> PAGEREF _Toc1301431 \h </w:instrText>
      </w:r>
      <w:r>
        <w:rPr>
          <w:rFonts w:hint="eastAsia" w:ascii="仿宋_GB2312" w:hAnsi="仿宋_GB2312" w:eastAsia="仿宋_GB2312" w:cs="仿宋_GB2312"/>
          <w:b w:val="0"/>
          <w:bCs w:val="0"/>
          <w:sz w:val="32"/>
          <w:szCs w:val="32"/>
          <w:highlight w:val="none"/>
        </w:rPr>
        <w:fldChar w:fldCharType="separate"/>
      </w:r>
      <w:r>
        <w:rPr>
          <w:rFonts w:hint="eastAsia" w:ascii="仿宋_GB2312" w:hAnsi="仿宋_GB2312" w:eastAsia="仿宋_GB2312" w:cs="仿宋_GB2312"/>
          <w:b w:val="0"/>
          <w:bCs w:val="0"/>
          <w:sz w:val="32"/>
          <w:szCs w:val="32"/>
          <w:highlight w:val="none"/>
        </w:rPr>
        <w:t>36</w:t>
      </w:r>
      <w:r>
        <w:rPr>
          <w:rFonts w:hint="eastAsia" w:ascii="仿宋_GB2312" w:hAnsi="仿宋_GB2312" w:eastAsia="仿宋_GB2312" w:cs="仿宋_GB2312"/>
          <w:b w:val="0"/>
          <w:bCs w:val="0"/>
          <w:sz w:val="32"/>
          <w:szCs w:val="32"/>
          <w:highlight w:val="none"/>
        </w:rPr>
        <w:fldChar w:fldCharType="end"/>
      </w:r>
    </w:p>
    <w:p>
      <w:pPr>
        <w:rPr>
          <w:highlight w:val="none"/>
        </w:rPr>
      </w:pPr>
      <w:r>
        <w:rPr>
          <w:rFonts w:hint="eastAsia" w:ascii="仿宋_GB2312" w:hAnsi="仿宋_GB2312" w:eastAsia="仿宋_GB2312" w:cs="仿宋_GB2312"/>
          <w:caps/>
          <w:sz w:val="32"/>
          <w:szCs w:val="32"/>
          <w:highlight w:val="none"/>
        </w:rPr>
        <w:t>附件八：</w:t>
      </w:r>
      <w:r>
        <w:rPr>
          <w:rFonts w:hint="eastAsia" w:ascii="仿宋_GB2312" w:hAnsi="仿宋_GB2312" w:eastAsia="仿宋_GB2312" w:cs="仿宋_GB2312"/>
          <w:sz w:val="32"/>
          <w:szCs w:val="32"/>
          <w:highlight w:val="none"/>
        </w:rPr>
        <w:t>管理咨询委托服务合同</w:t>
      </w:r>
      <w:r>
        <w:rPr>
          <w:rFonts w:ascii="仿宋_GB2312" w:hAnsi="仿宋_GB2312" w:eastAsia="仿宋_GB2312" w:cs="仿宋_GB2312"/>
          <w:sz w:val="32"/>
          <w:szCs w:val="32"/>
          <w:highlight w:val="none"/>
        </w:rPr>
        <w:t>……………………………38</w:t>
      </w:r>
    </w:p>
    <w:p>
      <w:pPr>
        <w:widowControl/>
        <w:jc w:val="left"/>
        <w:rPr>
          <w:rFonts w:ascii="黑体" w:eastAsia="黑体"/>
          <w:b/>
          <w:bCs/>
          <w:kern w:val="44"/>
          <w:sz w:val="32"/>
          <w:szCs w:val="32"/>
          <w:highlight w:val="none"/>
        </w:rPr>
      </w:pPr>
      <w:r>
        <w:rPr>
          <w:rFonts w:hint="eastAsia" w:ascii="仿宋_GB2312" w:hAnsi="仿宋_GB2312" w:eastAsia="仿宋_GB2312" w:cs="仿宋_GB2312"/>
          <w:sz w:val="32"/>
          <w:szCs w:val="32"/>
          <w:highlight w:val="none"/>
        </w:rPr>
        <w:fldChar w:fldCharType="end"/>
      </w:r>
      <w:r>
        <w:rPr>
          <w:rFonts w:ascii="黑体" w:eastAsia="黑体"/>
          <w:sz w:val="32"/>
          <w:szCs w:val="32"/>
          <w:highlight w:val="none"/>
        </w:rPr>
        <w:br w:type="page"/>
      </w:r>
    </w:p>
    <w:p>
      <w:pPr>
        <w:pStyle w:val="11"/>
        <w:widowControl/>
        <w:spacing w:beforeAutospacing="0" w:afterAutospacing="0" w:line="560" w:lineRule="exact"/>
        <w:ind w:firstLine="640" w:firstLineChars="200"/>
        <w:rPr>
          <w:rFonts w:ascii="黑体" w:hAnsi="黑体" w:eastAsia="黑体" w:cs="黑体"/>
          <w:sz w:val="32"/>
          <w:szCs w:val="32"/>
          <w:highlight w:val="none"/>
        </w:rPr>
      </w:pPr>
      <w:bookmarkStart w:id="1" w:name="_Toc1301420"/>
      <w:r>
        <w:rPr>
          <w:rFonts w:hint="eastAsia" w:ascii="黑体" w:hAnsi="黑体" w:eastAsia="黑体" w:cs="黑体"/>
          <w:sz w:val="32"/>
          <w:szCs w:val="32"/>
          <w:highlight w:val="none"/>
        </w:rPr>
        <w:t>一、比选公告</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Calibri" w:hAnsi="Calibri" w:eastAsia="仿宋_GB2312" w:cs="Calibri"/>
          <w:sz w:val="32"/>
          <w:szCs w:val="32"/>
          <w:highlight w:val="none"/>
        </w:rPr>
        <w:t>蜀道物流</w:t>
      </w:r>
      <w:r>
        <w:rPr>
          <w:rFonts w:hint="eastAsia" w:ascii="仿宋_GB2312" w:hAnsi="仿宋_GB2312" w:eastAsia="仿宋_GB2312" w:cs="仿宋_GB2312"/>
          <w:sz w:val="32"/>
          <w:szCs w:val="32"/>
          <w:highlight w:val="none"/>
        </w:rPr>
        <w:t>集团（暂定名，文件内统称“</w:t>
      </w:r>
      <w:r>
        <w:rPr>
          <w:rFonts w:hint="eastAsia" w:ascii="Calibri" w:hAnsi="Calibri" w:eastAsia="仿宋_GB2312" w:cs="Calibri"/>
          <w:sz w:val="32"/>
          <w:szCs w:val="32"/>
          <w:highlight w:val="none"/>
        </w:rPr>
        <w:t>蜀道物流</w:t>
      </w:r>
      <w:r>
        <w:rPr>
          <w:rFonts w:hint="eastAsia" w:ascii="仿宋_GB2312" w:hAnsi="仿宋_GB2312" w:eastAsia="仿宋_GB2312" w:cs="仿宋_GB2312"/>
          <w:sz w:val="32"/>
          <w:szCs w:val="32"/>
          <w:highlight w:val="none"/>
        </w:rPr>
        <w:t>集团”）筹建工作组拟就组建事项拟采取公开比选的方式采购蜀道物流集团专业化整合人力资源咨询服务项目，根据四川省国资委中介机构聘用管理有关规定，现将公开比选咨询机构的有关事项公告如下：</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（一）项目概况</w:t>
      </w:r>
    </w:p>
    <w:p>
      <w:pPr>
        <w:pStyle w:val="11"/>
        <w:widowControl/>
        <w:spacing w:beforeAutospacing="0" w:afterAutospacing="0" w:line="560" w:lineRule="exact"/>
        <w:ind w:firstLine="640" w:firstLineChars="200"/>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sz w:val="32"/>
          <w:szCs w:val="32"/>
          <w:highlight w:val="none"/>
        </w:rPr>
        <w:t>1.比选人：</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蜀道物流集团筹建工作组</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（二）项目名称：蜀道物流集团专业化整合人力资源咨询服务项目。</w:t>
      </w:r>
    </w:p>
    <w:p>
      <w:pPr>
        <w:ind w:firstLine="640" w:firstLineChars="200"/>
        <w:rPr>
          <w:rFonts w:ascii="黑体" w:hAnsi="黑体" w:eastAsia="黑体" w:cs="黑体"/>
          <w:sz w:val="32"/>
          <w:szCs w:val="32"/>
          <w:highlight w:val="none"/>
        </w:rPr>
      </w:pPr>
      <w:r>
        <w:rPr>
          <w:rFonts w:hint="eastAsia" w:ascii="仿宋_GB2312" w:hAnsi="仿宋_GB2312" w:eastAsia="仿宋_GB2312" w:cs="仿宋_GB2312"/>
          <w:sz w:val="32"/>
          <w:szCs w:val="32"/>
          <w:highlight w:val="none"/>
        </w:rPr>
        <w:t>（三）服务内容：</w:t>
      </w:r>
    </w:p>
    <w:p>
      <w:pPr>
        <w:ind w:firstLine="640" w:firstLineChars="200"/>
        <w:rPr>
          <w:rFonts w:ascii="仿宋_GB2312" w:hAnsi="仿宋_GB2312" w:eastAsia="仿宋_GB2312" w:cs="黑体"/>
          <w:sz w:val="32"/>
          <w:szCs w:val="32"/>
          <w:highlight w:val="none"/>
        </w:rPr>
      </w:pPr>
      <w:r>
        <w:rPr>
          <w:rFonts w:hint="eastAsia" w:ascii="仿宋_GB2312" w:hAnsi="仿宋_GB2312" w:eastAsia="仿宋_GB2312" w:cs="黑体"/>
          <w:sz w:val="32"/>
          <w:szCs w:val="32"/>
          <w:highlight w:val="none"/>
        </w:rPr>
        <w:t>根据项目整体工作内容及专业化整合工作进度安排，整体工作可分为整体组建方案编制阶段、重组整合三项制度改革细化落实阶段组织开展。</w:t>
      </w:r>
    </w:p>
    <w:p>
      <w:pPr>
        <w:pStyle w:val="16"/>
        <w:numPr>
          <w:ilvl w:val="0"/>
          <w:numId w:val="1"/>
        </w:numPr>
        <w:ind w:left="0" w:firstLine="640"/>
        <w:rPr>
          <w:rFonts w:ascii="仿宋_GB2312" w:hAnsi="仿宋_GB2312" w:eastAsia="仿宋_GB2312" w:cs="黑体"/>
          <w:sz w:val="32"/>
          <w:szCs w:val="32"/>
          <w:highlight w:val="none"/>
        </w:rPr>
      </w:pPr>
      <w:r>
        <w:rPr>
          <w:rFonts w:hint="eastAsia" w:ascii="仿宋_GB2312" w:hAnsi="仿宋_GB2312" w:eastAsia="仿宋_GB2312" w:cs="黑体"/>
          <w:sz w:val="32"/>
          <w:szCs w:val="32"/>
          <w:highlight w:val="none"/>
        </w:rPr>
        <w:t>整体组建方案编制阶段</w:t>
      </w:r>
    </w:p>
    <w:p>
      <w:pPr>
        <w:pStyle w:val="16"/>
        <w:numPr>
          <w:ilvl w:val="0"/>
          <w:numId w:val="2"/>
        </w:numPr>
        <w:ind w:left="0" w:firstLine="640"/>
        <w:rPr>
          <w:rFonts w:ascii="仿宋_GB2312" w:hAnsi="仿宋_GB2312" w:eastAsia="仿宋_GB2312" w:cs="黑体"/>
          <w:sz w:val="32"/>
          <w:szCs w:val="32"/>
          <w:highlight w:val="none"/>
        </w:rPr>
      </w:pPr>
      <w:r>
        <w:rPr>
          <w:rFonts w:ascii="仿宋_GB2312" w:hAnsi="仿宋_GB2312" w:eastAsia="仿宋_GB2312" w:cs="黑体"/>
          <w:sz w:val="32"/>
          <w:szCs w:val="32"/>
          <w:highlight w:val="none"/>
        </w:rPr>
        <w:t>根据蜀道集团</w:t>
      </w:r>
      <w:r>
        <w:rPr>
          <w:rFonts w:hint="eastAsia" w:ascii="仿宋_GB2312" w:hAnsi="仿宋_GB2312" w:eastAsia="仿宋_GB2312" w:cs="黑体"/>
          <w:sz w:val="32"/>
          <w:szCs w:val="32"/>
          <w:highlight w:val="none"/>
        </w:rPr>
        <w:t>对专业化蜀道物流集团</w:t>
      </w:r>
      <w:r>
        <w:rPr>
          <w:rFonts w:ascii="仿宋_GB2312" w:hAnsi="仿宋_GB2312" w:eastAsia="仿宋_GB2312" w:cs="黑体"/>
          <w:sz w:val="32"/>
          <w:szCs w:val="32"/>
          <w:highlight w:val="none"/>
        </w:rPr>
        <w:t>战略定位和管理要求，</w:t>
      </w:r>
      <w:r>
        <w:rPr>
          <w:rFonts w:hint="eastAsia" w:ascii="仿宋_GB2312" w:hAnsi="仿宋_GB2312" w:eastAsia="仿宋_GB2312" w:cs="黑体"/>
          <w:sz w:val="32"/>
          <w:szCs w:val="32"/>
          <w:highlight w:val="none"/>
        </w:rPr>
        <w:t>搭建蜀道物流集团</w:t>
      </w:r>
      <w:r>
        <w:rPr>
          <w:rFonts w:hint="eastAsia" w:ascii="仿宋_GB2312" w:hAnsi="仿宋_GB2312" w:eastAsia="仿宋_GB2312" w:cs="黑体"/>
          <w:sz w:val="32"/>
          <w:szCs w:val="32"/>
          <w:highlight w:val="none"/>
          <w:lang w:eastAsia="zh-CN"/>
        </w:rPr>
        <w:t>本部</w:t>
      </w:r>
      <w:r>
        <w:rPr>
          <w:rFonts w:ascii="仿宋_GB2312" w:hAnsi="仿宋_GB2312" w:eastAsia="仿宋_GB2312" w:cs="黑体"/>
          <w:sz w:val="32"/>
          <w:szCs w:val="32"/>
          <w:highlight w:val="none"/>
        </w:rPr>
        <w:t>组织架构；</w:t>
      </w:r>
    </w:p>
    <w:p>
      <w:pPr>
        <w:pStyle w:val="16"/>
        <w:numPr>
          <w:ilvl w:val="0"/>
          <w:numId w:val="2"/>
        </w:numPr>
        <w:ind w:left="0" w:firstLine="640"/>
        <w:rPr>
          <w:rFonts w:ascii="仿宋_GB2312" w:hAnsi="仿宋_GB2312" w:eastAsia="仿宋_GB2312" w:cs="黑体"/>
          <w:sz w:val="32"/>
          <w:szCs w:val="32"/>
          <w:highlight w:val="none"/>
        </w:rPr>
      </w:pPr>
      <w:r>
        <w:rPr>
          <w:rFonts w:ascii="仿宋_GB2312" w:hAnsi="仿宋_GB2312" w:eastAsia="仿宋_GB2312" w:cs="黑体"/>
          <w:sz w:val="32"/>
          <w:szCs w:val="32"/>
          <w:highlight w:val="none"/>
        </w:rPr>
        <w:t>收集并提供其他</w:t>
      </w:r>
      <w:r>
        <w:rPr>
          <w:rFonts w:hint="eastAsia" w:ascii="仿宋_GB2312" w:hAnsi="仿宋_GB2312" w:eastAsia="仿宋_GB2312" w:cs="黑体"/>
          <w:sz w:val="32"/>
          <w:szCs w:val="32"/>
          <w:highlight w:val="none"/>
        </w:rPr>
        <w:t>同类型</w:t>
      </w:r>
      <w:r>
        <w:rPr>
          <w:rFonts w:ascii="仿宋_GB2312" w:hAnsi="仿宋_GB2312" w:eastAsia="仿宋_GB2312" w:cs="黑体"/>
          <w:sz w:val="32"/>
          <w:szCs w:val="32"/>
          <w:highlight w:val="none"/>
        </w:rPr>
        <w:t>国有企业相关材料和数据，提供对标样本；</w:t>
      </w:r>
    </w:p>
    <w:p>
      <w:pPr>
        <w:pStyle w:val="16"/>
        <w:numPr>
          <w:ilvl w:val="0"/>
          <w:numId w:val="2"/>
        </w:numPr>
        <w:ind w:left="0" w:firstLine="640"/>
        <w:rPr>
          <w:rFonts w:ascii="仿宋_GB2312" w:hAnsi="仿宋_GB2312" w:eastAsia="仿宋_GB2312" w:cs="黑体"/>
          <w:sz w:val="32"/>
          <w:szCs w:val="32"/>
          <w:highlight w:val="none"/>
        </w:rPr>
      </w:pPr>
      <w:r>
        <w:rPr>
          <w:rFonts w:ascii="仿宋_GB2312" w:hAnsi="仿宋_GB2312" w:eastAsia="仿宋_GB2312" w:cs="黑体"/>
          <w:sz w:val="32"/>
          <w:szCs w:val="32"/>
          <w:highlight w:val="none"/>
        </w:rPr>
        <w:t>设计</w:t>
      </w:r>
      <w:r>
        <w:rPr>
          <w:rFonts w:hint="eastAsia" w:ascii="仿宋_GB2312" w:hAnsi="仿宋_GB2312" w:eastAsia="仿宋_GB2312" w:cs="黑体"/>
          <w:sz w:val="32"/>
          <w:szCs w:val="32"/>
          <w:highlight w:val="none"/>
        </w:rPr>
        <w:t>蜀道物流集</w:t>
      </w:r>
      <w:r>
        <w:rPr>
          <w:rFonts w:ascii="仿宋_GB2312" w:hAnsi="仿宋_GB2312" w:eastAsia="仿宋_GB2312" w:cs="黑体"/>
          <w:sz w:val="32"/>
          <w:szCs w:val="32"/>
          <w:highlight w:val="none"/>
        </w:rPr>
        <w:t>团</w:t>
      </w:r>
      <w:r>
        <w:rPr>
          <w:rFonts w:hint="eastAsia" w:ascii="仿宋_GB2312" w:hAnsi="仿宋_GB2312" w:eastAsia="仿宋_GB2312" w:cs="黑体"/>
          <w:sz w:val="32"/>
          <w:szCs w:val="32"/>
          <w:highlight w:val="none"/>
          <w:lang w:eastAsia="zh-CN"/>
        </w:rPr>
        <w:t>本部</w:t>
      </w:r>
      <w:r>
        <w:rPr>
          <w:rFonts w:ascii="仿宋_GB2312" w:hAnsi="仿宋_GB2312" w:eastAsia="仿宋_GB2312" w:cs="黑体"/>
          <w:sz w:val="32"/>
          <w:szCs w:val="32"/>
          <w:highlight w:val="none"/>
        </w:rPr>
        <w:t>岗位职级体系，形成《</w:t>
      </w:r>
      <w:r>
        <w:rPr>
          <w:rFonts w:hint="eastAsia" w:ascii="仿宋_GB2312" w:hAnsi="仿宋_GB2312" w:eastAsia="仿宋_GB2312" w:cs="黑体"/>
          <w:sz w:val="32"/>
          <w:szCs w:val="32"/>
          <w:highlight w:val="none"/>
          <w:lang w:eastAsia="zh-CN"/>
        </w:rPr>
        <w:t>本部</w:t>
      </w:r>
      <w:r>
        <w:rPr>
          <w:rFonts w:ascii="仿宋_GB2312" w:hAnsi="仿宋_GB2312" w:eastAsia="仿宋_GB2312" w:cs="黑体"/>
          <w:sz w:val="32"/>
          <w:szCs w:val="32"/>
          <w:highlight w:val="none"/>
        </w:rPr>
        <w:t>内设机构、职能职责、人员编制方案》；</w:t>
      </w:r>
    </w:p>
    <w:p>
      <w:pPr>
        <w:pStyle w:val="16"/>
        <w:numPr>
          <w:ilvl w:val="0"/>
          <w:numId w:val="2"/>
        </w:numPr>
        <w:ind w:left="0" w:firstLine="640"/>
        <w:rPr>
          <w:rFonts w:ascii="仿宋_GB2312" w:hAnsi="仿宋_GB2312" w:eastAsia="仿宋_GB2312" w:cs="黑体"/>
          <w:sz w:val="32"/>
          <w:szCs w:val="32"/>
          <w:highlight w:val="none"/>
        </w:rPr>
      </w:pPr>
      <w:r>
        <w:rPr>
          <w:rFonts w:ascii="仿宋_GB2312" w:hAnsi="仿宋_GB2312" w:eastAsia="仿宋_GB2312" w:cs="黑体"/>
          <w:sz w:val="32"/>
          <w:szCs w:val="32"/>
          <w:highlight w:val="none"/>
        </w:rPr>
        <w:t>编制</w:t>
      </w:r>
      <w:r>
        <w:rPr>
          <w:rFonts w:hint="eastAsia" w:ascii="仿宋_GB2312" w:hAnsi="仿宋_GB2312" w:eastAsia="仿宋_GB2312" w:cs="黑体"/>
          <w:sz w:val="32"/>
          <w:szCs w:val="32"/>
          <w:highlight w:val="none"/>
        </w:rPr>
        <w:t>蜀道物流集团</w:t>
      </w:r>
      <w:r>
        <w:rPr>
          <w:rFonts w:ascii="仿宋_GB2312" w:hAnsi="仿宋_GB2312" w:eastAsia="仿宋_GB2312" w:cs="黑体"/>
          <w:sz w:val="32"/>
          <w:szCs w:val="32"/>
          <w:highlight w:val="none"/>
        </w:rPr>
        <w:t>人力资源制度市场化改革方案，将改革的精神和要求切实落实到各项</w:t>
      </w:r>
      <w:r>
        <w:rPr>
          <w:rFonts w:hint="eastAsia" w:ascii="仿宋_GB2312" w:hAnsi="仿宋_GB2312" w:eastAsia="仿宋_GB2312" w:cs="黑体"/>
          <w:sz w:val="32"/>
          <w:szCs w:val="32"/>
          <w:highlight w:val="none"/>
        </w:rPr>
        <w:t>整合</w:t>
      </w:r>
      <w:r>
        <w:rPr>
          <w:rFonts w:ascii="仿宋_GB2312" w:hAnsi="仿宋_GB2312" w:eastAsia="仿宋_GB2312" w:cs="黑体"/>
          <w:sz w:val="32"/>
          <w:szCs w:val="32"/>
          <w:highlight w:val="none"/>
        </w:rPr>
        <w:t>工作中去</w:t>
      </w:r>
      <w:r>
        <w:rPr>
          <w:rFonts w:hint="eastAsia" w:ascii="仿宋_GB2312" w:hAnsi="仿宋_GB2312" w:eastAsia="仿宋_GB2312" w:cs="黑体"/>
          <w:sz w:val="32"/>
          <w:szCs w:val="32"/>
          <w:highlight w:val="none"/>
        </w:rPr>
        <w:t>。</w:t>
      </w:r>
    </w:p>
    <w:p>
      <w:pPr>
        <w:pStyle w:val="16"/>
        <w:numPr>
          <w:ilvl w:val="0"/>
          <w:numId w:val="1"/>
        </w:numPr>
        <w:ind w:left="0" w:firstLine="640"/>
        <w:rPr>
          <w:rFonts w:ascii="仿宋_GB2312" w:hAnsi="仿宋_GB2312" w:eastAsia="仿宋_GB2312" w:cs="黑体"/>
          <w:sz w:val="32"/>
          <w:szCs w:val="32"/>
          <w:highlight w:val="none"/>
        </w:rPr>
      </w:pPr>
      <w:r>
        <w:rPr>
          <w:rFonts w:hint="eastAsia" w:ascii="仿宋_GB2312" w:hAnsi="仿宋_GB2312" w:eastAsia="仿宋_GB2312" w:cs="黑体"/>
          <w:sz w:val="32"/>
          <w:szCs w:val="32"/>
          <w:highlight w:val="none"/>
        </w:rPr>
        <w:t>重组整合三项制度改革细化落实阶段</w:t>
      </w:r>
    </w:p>
    <w:p>
      <w:pPr>
        <w:pStyle w:val="16"/>
        <w:numPr>
          <w:ilvl w:val="0"/>
          <w:numId w:val="3"/>
        </w:numPr>
        <w:ind w:left="0" w:firstLine="640"/>
        <w:rPr>
          <w:rFonts w:ascii="仿宋_GB2312" w:hAnsi="仿宋_GB2312" w:eastAsia="仿宋_GB2312" w:cs="黑体"/>
          <w:sz w:val="32"/>
          <w:szCs w:val="32"/>
          <w:highlight w:val="none"/>
        </w:rPr>
      </w:pPr>
      <w:r>
        <w:rPr>
          <w:rFonts w:ascii="仿宋_GB2312" w:hAnsi="仿宋_GB2312" w:eastAsia="仿宋_GB2312" w:cs="黑体"/>
          <w:sz w:val="32"/>
          <w:szCs w:val="32"/>
          <w:highlight w:val="none"/>
        </w:rPr>
        <w:t>开展</w:t>
      </w:r>
      <w:r>
        <w:rPr>
          <w:rFonts w:hint="eastAsia" w:ascii="仿宋_GB2312" w:hAnsi="仿宋_GB2312" w:eastAsia="仿宋_GB2312" w:cs="黑体"/>
          <w:sz w:val="32"/>
          <w:szCs w:val="32"/>
          <w:highlight w:val="none"/>
        </w:rPr>
        <w:t>蜀道物流集团</w:t>
      </w:r>
      <w:r>
        <w:rPr>
          <w:rFonts w:hint="eastAsia" w:ascii="仿宋_GB2312" w:hAnsi="仿宋_GB2312" w:eastAsia="仿宋_GB2312" w:cs="黑体"/>
          <w:sz w:val="32"/>
          <w:szCs w:val="32"/>
          <w:highlight w:val="none"/>
          <w:lang w:eastAsia="zh-CN"/>
        </w:rPr>
        <w:t>本部</w:t>
      </w:r>
      <w:r>
        <w:rPr>
          <w:rFonts w:ascii="仿宋_GB2312" w:hAnsi="仿宋_GB2312" w:eastAsia="仿宋_GB2312" w:cs="黑体"/>
          <w:sz w:val="32"/>
          <w:szCs w:val="32"/>
          <w:highlight w:val="none"/>
        </w:rPr>
        <w:t>岗位设置、岗位说明书编制</w:t>
      </w:r>
      <w:r>
        <w:rPr>
          <w:rFonts w:hint="eastAsia" w:ascii="仿宋_GB2312" w:hAnsi="仿宋_GB2312" w:eastAsia="仿宋_GB2312" w:cs="黑体"/>
          <w:sz w:val="32"/>
          <w:szCs w:val="32"/>
          <w:highlight w:val="none"/>
        </w:rPr>
        <w:t>工作；</w:t>
      </w:r>
    </w:p>
    <w:p>
      <w:pPr>
        <w:pStyle w:val="16"/>
        <w:numPr>
          <w:ilvl w:val="0"/>
          <w:numId w:val="3"/>
        </w:numPr>
        <w:ind w:left="0" w:firstLine="640"/>
        <w:rPr>
          <w:rFonts w:ascii="仿宋_GB2312" w:hAnsi="仿宋_GB2312" w:eastAsia="仿宋_GB2312" w:cs="黑体"/>
          <w:sz w:val="32"/>
          <w:szCs w:val="32"/>
          <w:highlight w:val="none"/>
        </w:rPr>
      </w:pPr>
      <w:r>
        <w:rPr>
          <w:rFonts w:hint="eastAsia" w:ascii="仿宋_GB2312" w:hAnsi="仿宋_GB2312" w:eastAsia="仿宋_GB2312" w:cs="黑体"/>
          <w:sz w:val="32"/>
          <w:szCs w:val="32"/>
          <w:highlight w:val="none"/>
        </w:rPr>
        <w:t>制定岗位价值评价方案、准备岗位价值评价工具、开展</w:t>
      </w:r>
      <w:r>
        <w:rPr>
          <w:rFonts w:ascii="仿宋_GB2312" w:hAnsi="仿宋_GB2312" w:eastAsia="仿宋_GB2312" w:cs="黑体"/>
          <w:sz w:val="32"/>
          <w:szCs w:val="32"/>
          <w:highlight w:val="none"/>
        </w:rPr>
        <w:t>岗位价值评价</w:t>
      </w:r>
      <w:r>
        <w:rPr>
          <w:rFonts w:hint="eastAsia" w:ascii="仿宋_GB2312" w:hAnsi="仿宋_GB2312" w:eastAsia="仿宋_GB2312" w:cs="黑体"/>
          <w:sz w:val="32"/>
          <w:szCs w:val="32"/>
          <w:highlight w:val="none"/>
        </w:rPr>
        <w:t>现场培训及岗位价值评估</w:t>
      </w:r>
      <w:r>
        <w:rPr>
          <w:rFonts w:ascii="仿宋_GB2312" w:hAnsi="仿宋_GB2312" w:eastAsia="仿宋_GB2312" w:cs="黑体"/>
          <w:sz w:val="32"/>
          <w:szCs w:val="32"/>
          <w:highlight w:val="none"/>
        </w:rPr>
        <w:t>，为人员安排、岗位竞聘工作的顺利开展奠定基础</w:t>
      </w:r>
      <w:r>
        <w:rPr>
          <w:rFonts w:hint="eastAsia" w:ascii="仿宋_GB2312" w:hAnsi="仿宋_GB2312" w:eastAsia="仿宋_GB2312" w:cs="黑体"/>
          <w:sz w:val="32"/>
          <w:szCs w:val="32"/>
          <w:highlight w:val="none"/>
        </w:rPr>
        <w:t>；</w:t>
      </w:r>
    </w:p>
    <w:p>
      <w:pPr>
        <w:pStyle w:val="16"/>
        <w:numPr>
          <w:ilvl w:val="0"/>
          <w:numId w:val="3"/>
        </w:numPr>
        <w:ind w:left="0" w:firstLine="640"/>
        <w:rPr>
          <w:rFonts w:ascii="仿宋_GB2312" w:hAnsi="仿宋_GB2312" w:eastAsia="仿宋_GB2312" w:cs="黑体"/>
          <w:sz w:val="32"/>
          <w:szCs w:val="32"/>
          <w:highlight w:val="none"/>
        </w:rPr>
      </w:pPr>
      <w:r>
        <w:rPr>
          <w:rFonts w:ascii="仿宋_GB2312" w:hAnsi="仿宋_GB2312" w:eastAsia="仿宋_GB2312" w:cs="黑体"/>
          <w:sz w:val="32"/>
          <w:szCs w:val="32"/>
          <w:highlight w:val="none"/>
        </w:rPr>
        <w:t>设计</w:t>
      </w:r>
      <w:r>
        <w:rPr>
          <w:rFonts w:hint="eastAsia" w:ascii="仿宋_GB2312" w:hAnsi="仿宋_GB2312" w:eastAsia="仿宋_GB2312" w:cs="黑体"/>
          <w:sz w:val="32"/>
          <w:szCs w:val="32"/>
          <w:highlight w:val="none"/>
        </w:rPr>
        <w:t>蜀道物流集团</w:t>
      </w:r>
      <w:r>
        <w:rPr>
          <w:rFonts w:hint="eastAsia" w:ascii="仿宋_GB2312" w:hAnsi="仿宋_GB2312" w:eastAsia="仿宋_GB2312" w:cs="黑体"/>
          <w:sz w:val="32"/>
          <w:szCs w:val="32"/>
          <w:highlight w:val="none"/>
          <w:lang w:eastAsia="zh-CN"/>
        </w:rPr>
        <w:t>本部</w:t>
      </w:r>
      <w:r>
        <w:rPr>
          <w:rFonts w:ascii="仿宋_GB2312" w:hAnsi="仿宋_GB2312" w:eastAsia="仿宋_GB2312" w:cs="黑体"/>
          <w:sz w:val="32"/>
          <w:szCs w:val="32"/>
          <w:highlight w:val="none"/>
        </w:rPr>
        <w:t>员工工资体系，形成</w:t>
      </w:r>
      <w:r>
        <w:rPr>
          <w:rFonts w:hint="eastAsia" w:ascii="仿宋_GB2312" w:hAnsi="仿宋_GB2312" w:eastAsia="仿宋_GB2312" w:cs="黑体"/>
          <w:sz w:val="32"/>
          <w:szCs w:val="32"/>
          <w:highlight w:val="none"/>
          <w:lang w:eastAsia="zh-CN"/>
        </w:rPr>
        <w:t>本部</w:t>
      </w:r>
      <w:r>
        <w:rPr>
          <w:rFonts w:ascii="仿宋_GB2312" w:hAnsi="仿宋_GB2312" w:eastAsia="仿宋_GB2312" w:cs="黑体"/>
          <w:sz w:val="32"/>
          <w:szCs w:val="32"/>
          <w:highlight w:val="none"/>
        </w:rPr>
        <w:t xml:space="preserve">薪酬管理体系和相关办法； </w:t>
      </w:r>
    </w:p>
    <w:p>
      <w:pPr>
        <w:pStyle w:val="16"/>
        <w:numPr>
          <w:ilvl w:val="0"/>
          <w:numId w:val="3"/>
        </w:numPr>
        <w:ind w:left="0" w:firstLine="640"/>
        <w:rPr>
          <w:rFonts w:ascii="仿宋_GB2312" w:hAnsi="仿宋_GB2312" w:eastAsia="仿宋_GB2312" w:cs="黑体"/>
          <w:sz w:val="32"/>
          <w:szCs w:val="32"/>
          <w:highlight w:val="none"/>
        </w:rPr>
      </w:pPr>
      <w:r>
        <w:rPr>
          <w:rFonts w:ascii="仿宋_GB2312" w:hAnsi="仿宋_GB2312" w:eastAsia="仿宋_GB2312" w:cs="黑体"/>
          <w:sz w:val="32"/>
          <w:szCs w:val="32"/>
          <w:highlight w:val="none"/>
        </w:rPr>
        <w:t>设计</w:t>
      </w:r>
      <w:r>
        <w:rPr>
          <w:rFonts w:hint="eastAsia" w:ascii="仿宋_GB2312" w:hAnsi="仿宋_GB2312" w:eastAsia="仿宋_GB2312" w:cs="黑体"/>
          <w:sz w:val="32"/>
          <w:szCs w:val="32"/>
          <w:highlight w:val="none"/>
        </w:rPr>
        <w:t>蜀道物流集</w:t>
      </w:r>
      <w:r>
        <w:rPr>
          <w:rFonts w:ascii="仿宋_GB2312" w:hAnsi="仿宋_GB2312" w:eastAsia="仿宋_GB2312" w:cs="黑体"/>
          <w:sz w:val="32"/>
          <w:szCs w:val="32"/>
          <w:highlight w:val="none"/>
        </w:rPr>
        <w:t>团</w:t>
      </w:r>
      <w:r>
        <w:rPr>
          <w:rFonts w:hint="eastAsia" w:ascii="仿宋_GB2312" w:hAnsi="仿宋_GB2312" w:eastAsia="仿宋_GB2312" w:cs="黑体"/>
          <w:sz w:val="32"/>
          <w:szCs w:val="32"/>
          <w:highlight w:val="none"/>
          <w:lang w:eastAsia="zh-CN"/>
        </w:rPr>
        <w:t>本部</w:t>
      </w:r>
      <w:r>
        <w:rPr>
          <w:rFonts w:ascii="仿宋_GB2312" w:hAnsi="仿宋_GB2312" w:eastAsia="仿宋_GB2312" w:cs="黑体"/>
          <w:sz w:val="32"/>
          <w:szCs w:val="32"/>
          <w:highlight w:val="none"/>
        </w:rPr>
        <w:t>绩效考核体系，形成</w:t>
      </w:r>
      <w:r>
        <w:rPr>
          <w:rFonts w:hint="eastAsia" w:ascii="仿宋_GB2312" w:hAnsi="仿宋_GB2312" w:eastAsia="仿宋_GB2312" w:cs="黑体"/>
          <w:sz w:val="32"/>
          <w:szCs w:val="32"/>
          <w:highlight w:val="none"/>
          <w:lang w:eastAsia="zh-CN"/>
        </w:rPr>
        <w:t>本部</w:t>
      </w:r>
      <w:r>
        <w:rPr>
          <w:rFonts w:ascii="仿宋_GB2312" w:hAnsi="仿宋_GB2312" w:eastAsia="仿宋_GB2312" w:cs="黑体"/>
          <w:sz w:val="32"/>
          <w:szCs w:val="32"/>
          <w:highlight w:val="none"/>
        </w:rPr>
        <w:t>绩效管理体系和相关办法</w:t>
      </w:r>
      <w:r>
        <w:rPr>
          <w:rFonts w:hint="eastAsia" w:ascii="仿宋_GB2312" w:hAnsi="仿宋_GB2312" w:eastAsia="仿宋_GB2312" w:cs="黑体"/>
          <w:sz w:val="32"/>
          <w:szCs w:val="32"/>
          <w:highlight w:val="none"/>
        </w:rPr>
        <w:t>。</w:t>
      </w:r>
    </w:p>
    <w:p>
      <w:pPr>
        <w:pStyle w:val="16"/>
        <w:numPr>
          <w:ilvl w:val="0"/>
          <w:numId w:val="1"/>
        </w:numPr>
        <w:ind w:left="0" w:firstLine="640"/>
        <w:rPr>
          <w:rFonts w:ascii="仿宋_GB2312" w:hAnsi="仿宋_GB2312" w:eastAsia="仿宋_GB2312" w:cs="黑体"/>
          <w:sz w:val="32"/>
          <w:szCs w:val="32"/>
          <w:highlight w:val="none"/>
        </w:rPr>
      </w:pPr>
      <w:r>
        <w:rPr>
          <w:rFonts w:hint="eastAsia" w:ascii="仿宋_GB2312" w:hAnsi="仿宋_GB2312" w:eastAsia="仿宋_GB2312" w:cs="黑体"/>
          <w:sz w:val="32"/>
          <w:szCs w:val="32"/>
          <w:highlight w:val="none"/>
        </w:rPr>
        <w:t>项目实施主要阶段及成果</w:t>
      </w:r>
    </w:p>
    <w:p>
      <w:pPr>
        <w:ind w:firstLine="640" w:firstLineChars="200"/>
        <w:rPr>
          <w:rFonts w:ascii="仿宋_GB2312" w:hAnsi="仿宋_GB2312" w:eastAsia="仿宋_GB2312" w:cs="黑体"/>
          <w:sz w:val="32"/>
          <w:szCs w:val="32"/>
          <w:highlight w:val="none"/>
        </w:rPr>
      </w:pPr>
      <w:r>
        <w:rPr>
          <w:rFonts w:hint="eastAsia" w:ascii="仿宋_GB2312" w:hAnsi="仿宋_GB2312" w:eastAsia="仿宋_GB2312" w:cs="黑体"/>
          <w:sz w:val="32"/>
          <w:szCs w:val="32"/>
          <w:highlight w:val="none"/>
        </w:rPr>
        <w:t>届时通过前期公开招标的方式确定第三方公司，根据蜀道物流集团人力资源工作管理实际情况，分阶段推进。以确保推动蜀道物流</w:t>
      </w:r>
      <w:r>
        <w:rPr>
          <w:rFonts w:hint="eastAsia" w:ascii="仿宋_GB2312" w:hAnsi="仿宋_GB2312" w:eastAsia="仿宋_GB2312" w:cs="黑体"/>
          <w:sz w:val="32"/>
          <w:szCs w:val="32"/>
          <w:highlight w:val="none"/>
          <w:lang w:val="en-US" w:eastAsia="zh-CN"/>
        </w:rPr>
        <w:t>集团</w:t>
      </w:r>
      <w:r>
        <w:rPr>
          <w:rFonts w:hint="eastAsia" w:ascii="仿宋_GB2312" w:hAnsi="仿宋_GB2312" w:eastAsia="仿宋_GB2312" w:cs="黑体"/>
          <w:sz w:val="32"/>
          <w:szCs w:val="32"/>
          <w:highlight w:val="none"/>
          <w:lang w:eastAsia="zh-CN"/>
        </w:rPr>
        <w:t>本部</w:t>
      </w:r>
      <w:r>
        <w:rPr>
          <w:rFonts w:hint="eastAsia" w:ascii="仿宋_GB2312" w:hAnsi="仿宋_GB2312" w:eastAsia="仿宋_GB2312" w:cs="黑体"/>
          <w:sz w:val="32"/>
          <w:szCs w:val="32"/>
          <w:highlight w:val="none"/>
        </w:rPr>
        <w:t>整合和所属企业专业化分工人力资源配置科学统筹及平稳过渡</w:t>
      </w:r>
      <w:r>
        <w:rPr>
          <w:rFonts w:hint="eastAsia" w:ascii="仿宋_GB2312" w:hAnsi="仿宋_GB2312" w:eastAsia="仿宋_GB2312" w:cs="仿宋_GB2312"/>
          <w:sz w:val="32"/>
          <w:szCs w:val="32"/>
          <w:highlight w:val="none"/>
        </w:rPr>
        <w:t>。</w:t>
      </w:r>
    </w:p>
    <w:tbl>
      <w:tblPr>
        <w:tblStyle w:val="12"/>
        <w:tblpPr w:leftFromText="180" w:rightFromText="180" w:vertAnchor="text" w:horzAnchor="page" w:tblpX="2386" w:tblpY="1056"/>
        <w:tblOverlap w:val="never"/>
        <w:tblW w:w="7367" w:type="dxa"/>
        <w:tblInd w:w="0" w:type="dxa"/>
        <w:tblLayout w:type="fixed"/>
        <w:tblCellMar>
          <w:top w:w="0" w:type="dxa"/>
          <w:left w:w="108" w:type="dxa"/>
          <w:bottom w:w="0" w:type="dxa"/>
          <w:right w:w="108" w:type="dxa"/>
        </w:tblCellMar>
      </w:tblPr>
      <w:tblGrid>
        <w:gridCol w:w="1856"/>
        <w:gridCol w:w="5511"/>
      </w:tblGrid>
      <w:tr>
        <w:tblPrEx>
          <w:tblCellMar>
            <w:top w:w="0" w:type="dxa"/>
            <w:left w:w="108" w:type="dxa"/>
            <w:bottom w:w="0" w:type="dxa"/>
            <w:right w:w="108" w:type="dxa"/>
          </w:tblCellMar>
        </w:tblPrEx>
        <w:trPr>
          <w:trHeight w:val="80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ind w:left="-5" w:leftChars="-10" w:hanging="16" w:hangingChars="5"/>
              <w:jc w:val="center"/>
              <w:rPr>
                <w:rFonts w:ascii="仿宋_GB2312" w:hAnsi="仿宋_GB2312" w:eastAsia="仿宋_GB2312" w:cs="黑体"/>
                <w:sz w:val="32"/>
                <w:szCs w:val="32"/>
                <w:highlight w:val="none"/>
              </w:rPr>
            </w:pPr>
            <w:r>
              <w:rPr>
                <w:rFonts w:hint="eastAsia" w:ascii="仿宋_GB2312" w:hAnsi="仿宋_GB2312" w:eastAsia="仿宋_GB2312" w:cs="黑体"/>
                <w:sz w:val="32"/>
                <w:szCs w:val="32"/>
                <w:highlight w:val="none"/>
              </w:rPr>
              <w:t>项目阶段</w:t>
            </w:r>
          </w:p>
        </w:tc>
        <w:tc>
          <w:tcPr>
            <w:tcW w:w="5511" w:type="dxa"/>
            <w:tcBorders>
              <w:top w:val="single" w:color="auto" w:sz="4" w:space="0"/>
              <w:left w:val="single" w:color="auto" w:sz="4" w:space="0"/>
              <w:bottom w:val="single" w:color="auto" w:sz="4" w:space="0"/>
              <w:right w:val="single" w:color="auto" w:sz="4" w:space="0"/>
            </w:tcBorders>
            <w:shd w:val="clear" w:color="auto" w:fill="auto"/>
            <w:vAlign w:val="center"/>
          </w:tcPr>
          <w:p>
            <w:pPr>
              <w:ind w:leftChars="-9" w:hanging="19" w:hangingChars="6"/>
              <w:jc w:val="center"/>
              <w:rPr>
                <w:rFonts w:ascii="仿宋_GB2312" w:hAnsi="仿宋_GB2312" w:eastAsia="仿宋_GB2312" w:cs="黑体"/>
                <w:sz w:val="32"/>
                <w:szCs w:val="32"/>
                <w:highlight w:val="none"/>
              </w:rPr>
            </w:pPr>
            <w:r>
              <w:rPr>
                <w:rFonts w:hint="eastAsia" w:ascii="仿宋_GB2312" w:hAnsi="仿宋_GB2312" w:eastAsia="仿宋_GB2312" w:cs="黑体"/>
                <w:sz w:val="32"/>
                <w:szCs w:val="32"/>
                <w:highlight w:val="none"/>
              </w:rPr>
              <w:t>模块内容</w:t>
            </w:r>
          </w:p>
        </w:tc>
      </w:tr>
      <w:tr>
        <w:tblPrEx>
          <w:tblCellMar>
            <w:top w:w="0" w:type="dxa"/>
            <w:left w:w="108" w:type="dxa"/>
            <w:bottom w:w="0" w:type="dxa"/>
            <w:right w:w="108" w:type="dxa"/>
          </w:tblCellMar>
        </w:tblPrEx>
        <w:trPr>
          <w:trHeight w:val="800" w:hRule="atLeast"/>
        </w:trPr>
        <w:tc>
          <w:tcPr>
            <w:tcW w:w="18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ind w:left="-5" w:leftChars="-10" w:hanging="16" w:hangingChars="5"/>
              <w:jc w:val="center"/>
              <w:rPr>
                <w:rFonts w:ascii="仿宋_GB2312" w:hAnsi="仿宋_GB2312" w:eastAsia="仿宋_GB2312" w:cs="黑体"/>
                <w:sz w:val="32"/>
                <w:szCs w:val="32"/>
                <w:highlight w:val="none"/>
              </w:rPr>
            </w:pPr>
            <w:r>
              <w:rPr>
                <w:rFonts w:hint="eastAsia" w:ascii="仿宋_GB2312" w:hAnsi="仿宋_GB2312" w:eastAsia="仿宋_GB2312" w:cs="黑体"/>
                <w:sz w:val="32"/>
                <w:szCs w:val="32"/>
                <w:highlight w:val="none"/>
              </w:rPr>
              <w:t>项目阶段一</w:t>
            </w:r>
          </w:p>
        </w:tc>
        <w:tc>
          <w:tcPr>
            <w:tcW w:w="5511" w:type="dxa"/>
            <w:tcBorders>
              <w:top w:val="single" w:color="auto" w:sz="4" w:space="0"/>
              <w:left w:val="single" w:color="auto" w:sz="4" w:space="0"/>
              <w:bottom w:val="single" w:color="auto" w:sz="4" w:space="0"/>
              <w:right w:val="single" w:color="auto" w:sz="4" w:space="0"/>
            </w:tcBorders>
            <w:shd w:val="clear" w:color="auto" w:fill="auto"/>
            <w:vAlign w:val="center"/>
          </w:tcPr>
          <w:p>
            <w:pPr>
              <w:ind w:leftChars="-9" w:hanging="19" w:hangingChars="6"/>
              <w:jc w:val="center"/>
              <w:rPr>
                <w:rFonts w:ascii="仿宋_GB2312" w:hAnsi="仿宋_GB2312" w:eastAsia="仿宋_GB2312" w:cs="黑体"/>
                <w:sz w:val="32"/>
                <w:szCs w:val="32"/>
                <w:highlight w:val="none"/>
              </w:rPr>
            </w:pPr>
            <w:r>
              <w:rPr>
                <w:rFonts w:hint="eastAsia" w:ascii="仿宋_GB2312" w:hAnsi="仿宋_GB2312" w:eastAsia="仿宋_GB2312" w:cs="黑体"/>
                <w:sz w:val="32"/>
                <w:szCs w:val="32"/>
                <w:highlight w:val="none"/>
              </w:rPr>
              <w:t>组织架构、职能职责及人员编制方案</w:t>
            </w:r>
          </w:p>
        </w:tc>
      </w:tr>
      <w:tr>
        <w:tblPrEx>
          <w:tblCellMar>
            <w:top w:w="0" w:type="dxa"/>
            <w:left w:w="108" w:type="dxa"/>
            <w:bottom w:w="0" w:type="dxa"/>
            <w:right w:w="108" w:type="dxa"/>
          </w:tblCellMar>
        </w:tblPrEx>
        <w:trPr>
          <w:trHeight w:val="800" w:hRule="atLeast"/>
        </w:trPr>
        <w:tc>
          <w:tcPr>
            <w:tcW w:w="1856" w:type="dxa"/>
            <w:vMerge w:val="continue"/>
            <w:tcBorders>
              <w:top w:val="single" w:color="auto" w:sz="4" w:space="0"/>
              <w:left w:val="single" w:color="auto" w:sz="4" w:space="0"/>
              <w:bottom w:val="single" w:color="auto" w:sz="4" w:space="0"/>
              <w:right w:val="single" w:color="auto" w:sz="4" w:space="0"/>
            </w:tcBorders>
            <w:vAlign w:val="center"/>
          </w:tcPr>
          <w:p>
            <w:pPr>
              <w:ind w:left="-5" w:leftChars="-10" w:hanging="16" w:hangingChars="5"/>
              <w:jc w:val="center"/>
              <w:rPr>
                <w:rFonts w:ascii="仿宋_GB2312" w:hAnsi="仿宋_GB2312" w:eastAsia="仿宋_GB2312" w:cs="黑体"/>
                <w:sz w:val="32"/>
                <w:szCs w:val="32"/>
                <w:highlight w:val="none"/>
              </w:rPr>
            </w:pPr>
          </w:p>
        </w:tc>
        <w:tc>
          <w:tcPr>
            <w:tcW w:w="5511" w:type="dxa"/>
            <w:tcBorders>
              <w:top w:val="single" w:color="auto" w:sz="4" w:space="0"/>
              <w:left w:val="single" w:color="auto" w:sz="4" w:space="0"/>
              <w:bottom w:val="single" w:color="auto" w:sz="4" w:space="0"/>
              <w:right w:val="single" w:color="auto" w:sz="4" w:space="0"/>
            </w:tcBorders>
            <w:shd w:val="clear" w:color="auto" w:fill="auto"/>
            <w:vAlign w:val="center"/>
          </w:tcPr>
          <w:p>
            <w:pPr>
              <w:ind w:leftChars="-9" w:hanging="19" w:hangingChars="6"/>
              <w:jc w:val="center"/>
              <w:rPr>
                <w:rFonts w:ascii="仿宋_GB2312" w:hAnsi="仿宋_GB2312" w:eastAsia="仿宋_GB2312" w:cs="黑体"/>
                <w:sz w:val="32"/>
                <w:szCs w:val="32"/>
                <w:highlight w:val="none"/>
              </w:rPr>
            </w:pPr>
            <w:r>
              <w:rPr>
                <w:rFonts w:hint="eastAsia" w:ascii="仿宋_GB2312" w:hAnsi="仿宋_GB2312" w:eastAsia="仿宋_GB2312" w:cs="黑体"/>
                <w:sz w:val="32"/>
                <w:szCs w:val="32"/>
                <w:highlight w:val="none"/>
              </w:rPr>
              <w:t>部门职责说明书编写</w:t>
            </w:r>
          </w:p>
        </w:tc>
      </w:tr>
      <w:tr>
        <w:tblPrEx>
          <w:tblCellMar>
            <w:top w:w="0" w:type="dxa"/>
            <w:left w:w="108" w:type="dxa"/>
            <w:bottom w:w="0" w:type="dxa"/>
            <w:right w:w="108" w:type="dxa"/>
          </w:tblCellMar>
        </w:tblPrEx>
        <w:trPr>
          <w:trHeight w:val="800" w:hRule="atLeast"/>
        </w:trPr>
        <w:tc>
          <w:tcPr>
            <w:tcW w:w="1856" w:type="dxa"/>
            <w:vMerge w:val="continue"/>
            <w:tcBorders>
              <w:top w:val="single" w:color="auto" w:sz="4" w:space="0"/>
              <w:left w:val="single" w:color="auto" w:sz="4" w:space="0"/>
              <w:bottom w:val="single" w:color="auto" w:sz="4" w:space="0"/>
              <w:right w:val="single" w:color="auto" w:sz="4" w:space="0"/>
            </w:tcBorders>
            <w:vAlign w:val="center"/>
          </w:tcPr>
          <w:p>
            <w:pPr>
              <w:ind w:left="-5" w:leftChars="-10" w:hanging="16" w:hangingChars="5"/>
              <w:jc w:val="center"/>
              <w:rPr>
                <w:rFonts w:ascii="仿宋_GB2312" w:hAnsi="仿宋_GB2312" w:eastAsia="仿宋_GB2312" w:cs="黑体"/>
                <w:sz w:val="32"/>
                <w:szCs w:val="32"/>
                <w:highlight w:val="none"/>
              </w:rPr>
            </w:pPr>
          </w:p>
        </w:tc>
        <w:tc>
          <w:tcPr>
            <w:tcW w:w="5511" w:type="dxa"/>
            <w:tcBorders>
              <w:top w:val="single" w:color="auto" w:sz="4" w:space="0"/>
              <w:left w:val="single" w:color="auto" w:sz="4" w:space="0"/>
              <w:bottom w:val="single" w:color="auto" w:sz="4" w:space="0"/>
              <w:right w:val="single" w:color="auto" w:sz="4" w:space="0"/>
            </w:tcBorders>
            <w:shd w:val="clear" w:color="auto" w:fill="auto"/>
            <w:vAlign w:val="center"/>
          </w:tcPr>
          <w:p>
            <w:pPr>
              <w:ind w:leftChars="-9" w:hanging="19" w:hangingChars="6"/>
              <w:jc w:val="center"/>
              <w:rPr>
                <w:rFonts w:ascii="仿宋_GB2312" w:hAnsi="仿宋_GB2312" w:eastAsia="仿宋_GB2312" w:cs="黑体"/>
                <w:sz w:val="32"/>
                <w:szCs w:val="32"/>
                <w:highlight w:val="none"/>
              </w:rPr>
            </w:pPr>
            <w:r>
              <w:rPr>
                <w:rFonts w:hint="eastAsia" w:ascii="仿宋_GB2312" w:hAnsi="仿宋_GB2312" w:eastAsia="仿宋_GB2312" w:cs="黑体"/>
                <w:sz w:val="32"/>
                <w:szCs w:val="32"/>
                <w:highlight w:val="none"/>
              </w:rPr>
              <w:t>对标材料分析</w:t>
            </w:r>
          </w:p>
        </w:tc>
      </w:tr>
      <w:tr>
        <w:tblPrEx>
          <w:tblCellMar>
            <w:top w:w="0" w:type="dxa"/>
            <w:left w:w="108" w:type="dxa"/>
            <w:bottom w:w="0" w:type="dxa"/>
            <w:right w:w="108" w:type="dxa"/>
          </w:tblCellMar>
        </w:tblPrEx>
        <w:trPr>
          <w:trHeight w:val="800" w:hRule="atLeast"/>
        </w:trPr>
        <w:tc>
          <w:tcPr>
            <w:tcW w:w="18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ind w:left="-5" w:leftChars="-10" w:hanging="16" w:hangingChars="5"/>
              <w:jc w:val="center"/>
              <w:rPr>
                <w:rFonts w:ascii="仿宋_GB2312" w:hAnsi="仿宋_GB2312" w:eastAsia="仿宋_GB2312" w:cs="黑体"/>
                <w:sz w:val="32"/>
                <w:szCs w:val="32"/>
                <w:highlight w:val="none"/>
              </w:rPr>
            </w:pPr>
            <w:r>
              <w:rPr>
                <w:rFonts w:hint="eastAsia" w:ascii="仿宋_GB2312" w:hAnsi="仿宋_GB2312" w:eastAsia="仿宋_GB2312" w:cs="黑体"/>
                <w:sz w:val="32"/>
                <w:szCs w:val="32"/>
                <w:highlight w:val="none"/>
              </w:rPr>
              <w:t>项目阶段二</w:t>
            </w:r>
          </w:p>
        </w:tc>
        <w:tc>
          <w:tcPr>
            <w:tcW w:w="5511" w:type="dxa"/>
            <w:tcBorders>
              <w:top w:val="single" w:color="auto" w:sz="4" w:space="0"/>
              <w:left w:val="single" w:color="auto" w:sz="4" w:space="0"/>
              <w:bottom w:val="single" w:color="auto" w:sz="4" w:space="0"/>
              <w:right w:val="single" w:color="auto" w:sz="4" w:space="0"/>
            </w:tcBorders>
            <w:shd w:val="clear" w:color="auto" w:fill="auto"/>
            <w:vAlign w:val="center"/>
          </w:tcPr>
          <w:p>
            <w:pPr>
              <w:ind w:leftChars="-9" w:hanging="19" w:hangingChars="6"/>
              <w:jc w:val="center"/>
              <w:rPr>
                <w:rFonts w:ascii="仿宋_GB2312" w:hAnsi="仿宋_GB2312" w:eastAsia="仿宋_GB2312" w:cs="黑体"/>
                <w:sz w:val="32"/>
                <w:szCs w:val="32"/>
                <w:highlight w:val="none"/>
              </w:rPr>
            </w:pPr>
            <w:r>
              <w:rPr>
                <w:rFonts w:hint="eastAsia" w:ascii="仿宋_GB2312" w:hAnsi="仿宋_GB2312" w:eastAsia="仿宋_GB2312" w:cs="黑体"/>
                <w:sz w:val="32"/>
                <w:szCs w:val="32"/>
                <w:highlight w:val="none"/>
              </w:rPr>
              <w:t>岗位设置及岗位说明书编制</w:t>
            </w:r>
          </w:p>
        </w:tc>
      </w:tr>
      <w:tr>
        <w:tblPrEx>
          <w:tblCellMar>
            <w:top w:w="0" w:type="dxa"/>
            <w:left w:w="108" w:type="dxa"/>
            <w:bottom w:w="0" w:type="dxa"/>
            <w:right w:w="108" w:type="dxa"/>
          </w:tblCellMar>
        </w:tblPrEx>
        <w:trPr>
          <w:trHeight w:val="800" w:hRule="atLeast"/>
        </w:trPr>
        <w:tc>
          <w:tcPr>
            <w:tcW w:w="1856" w:type="dxa"/>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center"/>
              <w:rPr>
                <w:rFonts w:ascii="仿宋_GB2312" w:hAnsi="仿宋_GB2312" w:eastAsia="仿宋_GB2312" w:cs="黑体"/>
                <w:sz w:val="32"/>
                <w:szCs w:val="32"/>
                <w:highlight w:val="none"/>
              </w:rPr>
            </w:pPr>
          </w:p>
        </w:tc>
        <w:tc>
          <w:tcPr>
            <w:tcW w:w="5511" w:type="dxa"/>
            <w:tcBorders>
              <w:top w:val="single" w:color="auto" w:sz="4" w:space="0"/>
              <w:left w:val="single" w:color="auto" w:sz="4" w:space="0"/>
              <w:bottom w:val="single" w:color="auto" w:sz="4" w:space="0"/>
              <w:right w:val="single" w:color="auto" w:sz="4" w:space="0"/>
            </w:tcBorders>
            <w:shd w:val="clear" w:color="auto" w:fill="auto"/>
            <w:vAlign w:val="center"/>
          </w:tcPr>
          <w:p>
            <w:pPr>
              <w:ind w:leftChars="-9" w:hanging="19" w:hangingChars="6"/>
              <w:jc w:val="center"/>
              <w:rPr>
                <w:rFonts w:ascii="仿宋_GB2312" w:hAnsi="仿宋_GB2312" w:eastAsia="仿宋_GB2312" w:cs="黑体"/>
                <w:sz w:val="32"/>
                <w:szCs w:val="32"/>
                <w:highlight w:val="none"/>
              </w:rPr>
            </w:pPr>
            <w:r>
              <w:rPr>
                <w:rFonts w:hint="eastAsia" w:ascii="仿宋_GB2312" w:hAnsi="仿宋_GB2312" w:eastAsia="仿宋_GB2312" w:cs="黑体"/>
                <w:sz w:val="32"/>
                <w:szCs w:val="32"/>
                <w:highlight w:val="none"/>
              </w:rPr>
              <w:t>岗位价值评价方案及实施</w:t>
            </w:r>
          </w:p>
        </w:tc>
      </w:tr>
      <w:tr>
        <w:tblPrEx>
          <w:tblCellMar>
            <w:top w:w="0" w:type="dxa"/>
            <w:left w:w="108" w:type="dxa"/>
            <w:bottom w:w="0" w:type="dxa"/>
            <w:right w:w="108" w:type="dxa"/>
          </w:tblCellMar>
        </w:tblPrEx>
        <w:trPr>
          <w:trHeight w:val="800" w:hRule="atLeast"/>
        </w:trPr>
        <w:tc>
          <w:tcPr>
            <w:tcW w:w="1856" w:type="dxa"/>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center"/>
              <w:rPr>
                <w:rFonts w:ascii="仿宋_GB2312" w:hAnsi="仿宋_GB2312" w:eastAsia="仿宋_GB2312" w:cs="黑体"/>
                <w:sz w:val="32"/>
                <w:szCs w:val="32"/>
                <w:highlight w:val="none"/>
              </w:rPr>
            </w:pPr>
          </w:p>
        </w:tc>
        <w:tc>
          <w:tcPr>
            <w:tcW w:w="5511" w:type="dxa"/>
            <w:tcBorders>
              <w:top w:val="single" w:color="auto" w:sz="4" w:space="0"/>
              <w:left w:val="single" w:color="auto" w:sz="4" w:space="0"/>
              <w:bottom w:val="single" w:color="auto" w:sz="4" w:space="0"/>
              <w:right w:val="single" w:color="auto" w:sz="4" w:space="0"/>
            </w:tcBorders>
            <w:shd w:val="clear" w:color="auto" w:fill="auto"/>
            <w:vAlign w:val="center"/>
          </w:tcPr>
          <w:p>
            <w:pPr>
              <w:ind w:leftChars="-9" w:hanging="19" w:hangingChars="6"/>
              <w:jc w:val="center"/>
              <w:rPr>
                <w:rFonts w:ascii="仿宋_GB2312" w:hAnsi="仿宋_GB2312" w:eastAsia="仿宋_GB2312" w:cs="黑体"/>
                <w:sz w:val="32"/>
                <w:szCs w:val="32"/>
                <w:highlight w:val="none"/>
              </w:rPr>
            </w:pPr>
            <w:r>
              <w:rPr>
                <w:rFonts w:hint="eastAsia" w:ascii="仿宋_GB2312" w:hAnsi="仿宋_GB2312" w:eastAsia="仿宋_GB2312" w:cs="黑体"/>
                <w:sz w:val="32"/>
                <w:szCs w:val="32"/>
                <w:highlight w:val="none"/>
              </w:rPr>
              <w:t>本部工资体系设计及办法编制</w:t>
            </w:r>
          </w:p>
        </w:tc>
      </w:tr>
      <w:tr>
        <w:tblPrEx>
          <w:tblCellMar>
            <w:top w:w="0" w:type="dxa"/>
            <w:left w:w="108" w:type="dxa"/>
            <w:bottom w:w="0" w:type="dxa"/>
            <w:right w:w="108" w:type="dxa"/>
          </w:tblCellMar>
        </w:tblPrEx>
        <w:trPr>
          <w:trHeight w:val="100" w:hRule="atLeast"/>
        </w:trPr>
        <w:tc>
          <w:tcPr>
            <w:tcW w:w="1856" w:type="dxa"/>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center"/>
              <w:rPr>
                <w:rFonts w:ascii="仿宋_GB2312" w:hAnsi="仿宋_GB2312" w:eastAsia="仿宋_GB2312" w:cs="黑体"/>
                <w:sz w:val="32"/>
                <w:szCs w:val="32"/>
                <w:highlight w:val="none"/>
              </w:rPr>
            </w:pPr>
          </w:p>
        </w:tc>
        <w:tc>
          <w:tcPr>
            <w:tcW w:w="5511" w:type="dxa"/>
            <w:tcBorders>
              <w:top w:val="single" w:color="auto" w:sz="4" w:space="0"/>
              <w:left w:val="single" w:color="auto" w:sz="4" w:space="0"/>
              <w:bottom w:val="single" w:color="auto" w:sz="4" w:space="0"/>
              <w:right w:val="single" w:color="auto" w:sz="4" w:space="0"/>
            </w:tcBorders>
            <w:shd w:val="clear" w:color="auto" w:fill="auto"/>
            <w:vAlign w:val="center"/>
          </w:tcPr>
          <w:p>
            <w:pPr>
              <w:ind w:leftChars="-9" w:hanging="19" w:hangingChars="6"/>
              <w:jc w:val="center"/>
              <w:rPr>
                <w:rFonts w:ascii="仿宋_GB2312" w:hAnsi="仿宋_GB2312" w:eastAsia="仿宋_GB2312" w:cs="黑体"/>
                <w:sz w:val="32"/>
                <w:szCs w:val="32"/>
                <w:highlight w:val="none"/>
              </w:rPr>
            </w:pPr>
            <w:r>
              <w:rPr>
                <w:rFonts w:hint="eastAsia" w:ascii="仿宋_GB2312" w:hAnsi="仿宋_GB2312" w:eastAsia="仿宋_GB2312" w:cs="黑体"/>
                <w:sz w:val="32"/>
                <w:szCs w:val="32"/>
                <w:highlight w:val="none"/>
              </w:rPr>
              <w:t>本部绩效考核体系设计及办法编制</w:t>
            </w:r>
          </w:p>
        </w:tc>
      </w:tr>
    </w:tbl>
    <w:p>
      <w:pPr>
        <w:ind w:firstLine="640" w:firstLineChars="200"/>
        <w:rPr>
          <w:rFonts w:hint="eastAsia" w:ascii="仿宋_GB2312" w:hAnsi="仿宋_GB2312" w:eastAsia="仿宋_GB2312" w:cs="黑体"/>
          <w:sz w:val="32"/>
          <w:szCs w:val="32"/>
          <w:highlight w:val="none"/>
          <w:lang w:val="en-US" w:eastAsia="zh-CN"/>
        </w:rPr>
      </w:pPr>
      <w:r>
        <w:rPr>
          <w:rFonts w:hint="eastAsia" w:ascii="仿宋_GB2312" w:hAnsi="仿宋_GB2312" w:eastAsia="仿宋_GB2312" w:cs="黑体"/>
          <w:sz w:val="32"/>
          <w:szCs w:val="32"/>
          <w:highlight w:val="none"/>
          <w:lang w:val="en-US" w:eastAsia="zh-CN"/>
        </w:rPr>
        <w:t>以上成果可根据实际情况进行相应调整。</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（四）比选申请人的报名资格要求</w:t>
      </w:r>
    </w:p>
    <w:p>
      <w:pPr>
        <w:pStyle w:val="11"/>
        <w:widowControl/>
        <w:spacing w:beforeAutospacing="0" w:afterAutospacing="0" w:line="56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1.具有独立法人资格，持有合法有效营业执照，以及国家法律法规要求的相关从业资质。</w:t>
      </w:r>
    </w:p>
    <w:p>
      <w:pPr>
        <w:pStyle w:val="11"/>
        <w:widowControl/>
        <w:spacing w:beforeAutospacing="0" w:afterAutospacing="0" w:line="56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2.比选申请人近三年（2018年至今）已完成3个及以上类似项目业绩。</w:t>
      </w:r>
    </w:p>
    <w:p>
      <w:pPr>
        <w:pStyle w:val="11"/>
        <w:widowControl/>
        <w:spacing w:beforeAutospacing="0" w:afterAutospacing="0" w:line="560" w:lineRule="exact"/>
        <w:ind w:firstLine="640" w:firstLineChars="200"/>
        <w:jc w:val="both"/>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rPr>
        <w:t>.具有良好的商业信誉，成立至今在比选活动、合同履行、现场服务过程中，未受到省国资委处罚及通报批评。</w:t>
      </w:r>
    </w:p>
    <w:p>
      <w:pPr>
        <w:pStyle w:val="11"/>
        <w:widowControl/>
        <w:spacing w:beforeAutospacing="0" w:afterAutospacing="0" w:line="560" w:lineRule="exact"/>
        <w:ind w:firstLine="640" w:firstLineChars="200"/>
        <w:jc w:val="both"/>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rPr>
        <w:t>不得存在下列情形之一：比选日前三年内存在骗取成交或严重违规、违约问题；比选日前两年内存在违反国家有关法律法规的行为；比选申请人处于被责令停业、财产被冻结、接管、破产状态。</w:t>
      </w:r>
    </w:p>
    <w:p>
      <w:pPr>
        <w:pStyle w:val="11"/>
        <w:widowControl/>
        <w:spacing w:beforeAutospacing="0" w:afterAutospacing="0" w:line="560" w:lineRule="exact"/>
        <w:ind w:firstLine="640" w:firstLineChars="200"/>
        <w:jc w:val="both"/>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（五）项目投标控制价：49万元（大写：肆拾玖万元）以内（含本数）。</w:t>
      </w:r>
    </w:p>
    <w:p>
      <w:pPr>
        <w:pStyle w:val="11"/>
        <w:widowControl/>
        <w:spacing w:beforeAutospacing="0" w:afterAutospacing="0" w:line="56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本项目采用综合评分法，资格后审。不符合比选资格的将被比选人拒绝，比选人对报名资料的审验并不作为比选申请单位资格条件的最终认定，比选申请人应对资料的真实性、合规性负责；开标后，仍将由评审组对比选申请人的资格证明材料进行资格审核，不符合比选资格条件的申请单位的投标将被拒绝。</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（七）比选文件递交时间及地点</w:t>
      </w:r>
    </w:p>
    <w:p>
      <w:pPr>
        <w:pStyle w:val="11"/>
        <w:widowControl/>
        <w:spacing w:beforeAutospacing="0" w:afterAutospacing="0" w:line="56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凡有意参加比选者，请于2021年</w:t>
      </w:r>
      <w:r>
        <w:rPr>
          <w:rFonts w:ascii="仿宋_GB2312" w:hAnsi="仿宋_GB2312" w:eastAsia="仿宋_GB2312" w:cs="仿宋_GB2312"/>
          <w:sz w:val="32"/>
          <w:szCs w:val="32"/>
          <w:highlight w:val="none"/>
        </w:rPr>
        <w:t>11</w:t>
      </w:r>
      <w:r>
        <w:rPr>
          <w:rFonts w:hint="eastAsia" w:ascii="仿宋_GB2312" w:hAnsi="仿宋_GB2312" w:eastAsia="仿宋_GB2312" w:cs="仿宋_GB2312"/>
          <w:sz w:val="32"/>
          <w:szCs w:val="32"/>
          <w:highlight w:val="none"/>
        </w:rPr>
        <w:t>月</w:t>
      </w:r>
      <w:r>
        <w:rPr>
          <w:rFonts w:ascii="仿宋_GB2312" w:hAnsi="仿宋_GB2312" w:eastAsia="仿宋_GB2312" w:cs="仿宋_GB2312"/>
          <w:sz w:val="32"/>
          <w:szCs w:val="32"/>
          <w:highlight w:val="none"/>
        </w:rPr>
        <w:t>11</w:t>
      </w:r>
      <w:r>
        <w:rPr>
          <w:rFonts w:hint="eastAsia" w:ascii="仿宋_GB2312" w:hAnsi="仿宋_GB2312" w:eastAsia="仿宋_GB2312" w:cs="仿宋_GB2312"/>
          <w:sz w:val="32"/>
          <w:szCs w:val="32"/>
          <w:highlight w:val="none"/>
        </w:rPr>
        <w:t>日至2021年</w:t>
      </w: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ascii="仿宋_GB2312" w:hAnsi="仿宋_GB2312" w:eastAsia="仿宋_GB2312" w:cs="仿宋_GB2312"/>
          <w:sz w:val="32"/>
          <w:szCs w:val="32"/>
          <w:highlight w:val="none"/>
        </w:rPr>
        <w:t>17</w:t>
      </w:r>
      <w:r>
        <w:rPr>
          <w:rFonts w:hint="eastAsia" w:ascii="仿宋_GB2312" w:hAnsi="仿宋_GB2312" w:eastAsia="仿宋_GB2312" w:cs="仿宋_GB2312"/>
          <w:sz w:val="32"/>
          <w:szCs w:val="32"/>
          <w:highlight w:val="none"/>
        </w:rPr>
        <w:t>日，公开比选公示网站下载比选文件。</w:t>
      </w:r>
    </w:p>
    <w:p>
      <w:pPr>
        <w:spacing w:line="360" w:lineRule="auto"/>
        <w:ind w:firstLine="640" w:firstLineChars="200"/>
        <w:rPr>
          <w:rFonts w:ascii="仿宋_GB2312" w:hAnsi="仿宋" w:eastAsia="仿宋_GB2312"/>
          <w:sz w:val="32"/>
          <w:szCs w:val="32"/>
          <w:highlight w:val="none"/>
        </w:rPr>
      </w:pPr>
      <w:r>
        <w:rPr>
          <w:rFonts w:hint="eastAsia" w:ascii="仿宋_GB2312" w:hAnsi="仿宋_GB2312" w:eastAsia="仿宋_GB2312" w:cs="仿宋_GB2312"/>
          <w:sz w:val="32"/>
          <w:szCs w:val="32"/>
          <w:highlight w:val="none"/>
        </w:rPr>
        <w:t>本项目比选文件递交时间为2021年</w:t>
      </w:r>
      <w:r>
        <w:rPr>
          <w:rFonts w:ascii="仿宋_GB2312" w:hAnsi="仿宋_GB2312" w:eastAsia="仿宋_GB2312" w:cs="仿宋_GB2312"/>
          <w:sz w:val="32"/>
          <w:szCs w:val="32"/>
          <w:highlight w:val="none"/>
        </w:rPr>
        <w:t>11</w:t>
      </w:r>
      <w:r>
        <w:rPr>
          <w:rFonts w:hint="eastAsia" w:ascii="仿宋_GB2312" w:hAnsi="仿宋_GB2312" w:eastAsia="仿宋_GB2312" w:cs="仿宋_GB2312"/>
          <w:sz w:val="32"/>
          <w:szCs w:val="32"/>
          <w:highlight w:val="none"/>
        </w:rPr>
        <w:t>月</w:t>
      </w:r>
      <w:r>
        <w:rPr>
          <w:rFonts w:ascii="仿宋_GB2312" w:hAnsi="仿宋_GB2312" w:eastAsia="仿宋_GB2312" w:cs="仿宋_GB2312"/>
          <w:sz w:val="32"/>
          <w:szCs w:val="32"/>
          <w:highlight w:val="none"/>
        </w:rPr>
        <w:t>18</w:t>
      </w:r>
      <w:r>
        <w:rPr>
          <w:rFonts w:hint="eastAsia" w:ascii="仿宋_GB2312" w:hAnsi="仿宋_GB2312" w:eastAsia="仿宋_GB2312" w:cs="仿宋_GB2312"/>
          <w:sz w:val="32"/>
          <w:szCs w:val="32"/>
          <w:highlight w:val="none"/>
        </w:rPr>
        <w:t>日9:00至10:00，地点为</w:t>
      </w:r>
      <w:r>
        <w:rPr>
          <w:rFonts w:hint="eastAsia" w:ascii="仿宋_GB2312" w:hAnsi="仿宋" w:eastAsia="仿宋_GB2312"/>
          <w:sz w:val="32"/>
          <w:szCs w:val="32"/>
          <w:highlight w:val="none"/>
        </w:rPr>
        <w:t>四川交投物流有限公司（成都市锦江区三色路银海芯座B栋22楼2217办公室）。</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报名时请携带比选人要求提交的比选申请文件（文件内容及格式详见附件1，不限制附上比选申请人认为必要的其他支撑性资料）。</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（八）比选程序及相关要求</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1.比选程序</w:t>
      </w:r>
    </w:p>
    <w:p>
      <w:pPr>
        <w:spacing w:line="360" w:lineRule="auto"/>
        <w:ind w:firstLine="640" w:firstLineChars="200"/>
        <w:rPr>
          <w:rFonts w:ascii="仿宋_GB2312" w:hAnsi="仿宋" w:eastAsia="仿宋_GB2312"/>
          <w:sz w:val="32"/>
          <w:szCs w:val="32"/>
          <w:highlight w:val="none"/>
        </w:rPr>
      </w:pPr>
      <w:r>
        <w:rPr>
          <w:rFonts w:hint="eastAsia" w:ascii="仿宋_GB2312" w:hAnsi="仿宋_GB2312" w:eastAsia="仿宋_GB2312" w:cs="仿宋_GB2312"/>
          <w:sz w:val="32"/>
          <w:szCs w:val="32"/>
          <w:highlight w:val="none"/>
        </w:rPr>
        <w:t>（1）比选人在比选公告规定的时间和地点公开组织比选。比选申请人须派代表参加。本项目比选时间为2021年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日10时00分；比选地点为</w:t>
      </w:r>
      <w:r>
        <w:rPr>
          <w:rFonts w:hint="eastAsia" w:ascii="仿宋_GB2312" w:hAnsi="仿宋" w:eastAsia="仿宋_GB2312"/>
          <w:sz w:val="32"/>
          <w:szCs w:val="32"/>
          <w:highlight w:val="none"/>
        </w:rPr>
        <w:t>四川交投物流有限公司（成都市锦江区三色路银海芯座B栋22楼2217办公室）。</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（2）参加比选会议的比选申请人的法定代表人或其委托代理人应提交授权委托书参加比选会议，以证明其身份。未按规定提交的,比选文件不予开封，并退给比选申请人。</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2.比选流程</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（1）宣布比选开始。</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（2）宣布会场纪律。</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（3）主持人介绍到会的单位和有关人员，并宣布会议主持人、记录人、唱标人、监督人名单。</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（4）由比选人及各比选申请人共同对比选申请文件的密封性进行审查。</w:t>
      </w:r>
    </w:p>
    <w:p>
      <w:pPr>
        <w:pStyle w:val="11"/>
        <w:widowControl/>
        <w:spacing w:beforeAutospacing="0" w:afterAutospacing="0" w:line="56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（5）经查验无误后当众启封比选文件；由比选人按递交比选申请文件签到的逆顺序进行启标，由唱标人当众公布报价，并由比选申请人签字确认。</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3.评审方法</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（1）本项目的评审小组由比选人根据本次比选特点按照相关规定组建。</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（2）评审小组成员名单，在中选结果确定前是保密的，评审在有关部门监督和保密的状态下进行。</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（3）评审小组成员应当客观公正履行职务，遵守职业道德，对所提出的评审意见承担个人责任。评审小组成员不得私下接触比选申请人，不得接受比选申请人的财物或其他好处。</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（4）评审程序：符合性审查--资格审查--详细评审--推荐中标候选人。</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（5）在评审过程中，凡未通过上一评审的比选申请文件，不再进入后续评审程序。</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（6）评审期间，评审小组成员根据需要对某些比选文件涉及事项进行质询，比选申请人法定代表人或其委托代理人必须保持通讯工具畅通。</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（7）评分原则和方法：</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ascii="Calibri" w:hAnsi="Calibri" w:eastAsia="仿宋_GB2312" w:cs="Calibri"/>
          <w:sz w:val="32"/>
          <w:szCs w:val="32"/>
          <w:highlight w:val="none"/>
        </w:rPr>
        <w:t>①</w:t>
      </w:r>
      <w:r>
        <w:rPr>
          <w:rFonts w:hint="eastAsia" w:ascii="仿宋_GB2312" w:hAnsi="仿宋_GB2312" w:eastAsia="仿宋_GB2312" w:cs="仿宋_GB2312"/>
          <w:sz w:val="32"/>
          <w:szCs w:val="32"/>
          <w:highlight w:val="none"/>
        </w:rPr>
        <w:t>严格依法评分，坚持公平、公正的原则。</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ascii="Calibri" w:hAnsi="Calibri" w:eastAsia="仿宋_GB2312" w:cs="Calibri"/>
          <w:sz w:val="32"/>
          <w:szCs w:val="32"/>
          <w:highlight w:val="none"/>
        </w:rPr>
        <w:t>②</w:t>
      </w:r>
      <w:r>
        <w:rPr>
          <w:rFonts w:hint="eastAsia" w:ascii="仿宋_GB2312" w:hAnsi="仿宋_GB2312" w:eastAsia="仿宋_GB2312" w:cs="仿宋_GB2312"/>
          <w:sz w:val="32"/>
          <w:szCs w:val="32"/>
          <w:highlight w:val="none"/>
        </w:rPr>
        <w:t>严格按照比选文件的要求和条件进行。</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ascii="Calibri" w:hAnsi="Calibri" w:eastAsia="仿宋_GB2312" w:cs="Calibri"/>
          <w:sz w:val="32"/>
          <w:szCs w:val="32"/>
          <w:highlight w:val="none"/>
        </w:rPr>
        <w:t>③</w:t>
      </w:r>
      <w:r>
        <w:rPr>
          <w:rFonts w:hint="eastAsia" w:ascii="仿宋_GB2312" w:hAnsi="仿宋_GB2312" w:eastAsia="仿宋_GB2312" w:cs="仿宋_GB2312"/>
          <w:sz w:val="32"/>
          <w:szCs w:val="32"/>
          <w:highlight w:val="none"/>
        </w:rPr>
        <w:t>本次评分采用综合评分法。比选人不保证价格最低标能够中选，无义务承担对未中选人的任何责任。</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ascii="Calibri" w:hAnsi="Calibri" w:eastAsia="仿宋_GB2312" w:cs="Calibri"/>
          <w:sz w:val="32"/>
          <w:szCs w:val="32"/>
          <w:highlight w:val="none"/>
        </w:rPr>
        <w:t>④</w:t>
      </w:r>
      <w:r>
        <w:rPr>
          <w:rFonts w:hint="eastAsia" w:ascii="仿宋_GB2312" w:hAnsi="仿宋_GB2312" w:eastAsia="仿宋_GB2312" w:cs="仿宋_GB2312"/>
          <w:sz w:val="32"/>
          <w:szCs w:val="32"/>
          <w:highlight w:val="none"/>
        </w:rPr>
        <w:t>评分组按照评分方法要求的评分标准进行综合评审打分，以综合评分得分由高到低推荐三名中选候选人。</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（九）中选公示及通知</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1.评分结束后，评分小组按评分总得分高低排序并按评分由高到低推荐两名中选候选人。</w:t>
      </w:r>
    </w:p>
    <w:p>
      <w:pPr>
        <w:pStyle w:val="11"/>
        <w:widowControl/>
        <w:spacing w:beforeAutospacing="0" w:afterAutospacing="0" w:line="56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2.比选人在评分后将评分结果在</w:t>
      </w:r>
      <w:r>
        <w:rPr>
          <w:rFonts w:hint="eastAsia" w:ascii="仿宋_GB2312" w:hAnsi="仿宋_GB2312" w:eastAsia="仿宋_GB2312" w:cs="仿宋_GB2312"/>
          <w:sz w:val="32"/>
          <w:szCs w:val="32"/>
          <w:highlight w:val="none"/>
          <w:shd w:val="clear" w:color="auto" w:fill="FFFFFF"/>
        </w:rPr>
        <w:t>蜀道投资集团有限责任公司(http://www.shudaojt.com/index.html)网上发布</w:t>
      </w:r>
      <w:r>
        <w:rPr>
          <w:rFonts w:hint="eastAsia" w:ascii="仿宋_GB2312" w:hAnsi="仿宋_GB2312" w:eastAsia="仿宋_GB2312" w:cs="仿宋_GB2312"/>
          <w:sz w:val="32"/>
          <w:szCs w:val="32"/>
          <w:highlight w:val="none"/>
        </w:rPr>
        <w:t>公示，公示后向中选人发出中选通知书。</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3.中选人须按“中选通知书”指定的时间、地点与比选人签订合同。</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4.如中选人违约，比选人可在比选申请人单位中按得分高低依次重新选定中选人。</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（十）相关说明</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1.比选人承诺，将坚持诚实守信的原则对待所有比选申请人，公开、公平、公正地进行评选工作；</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2.公开比选期间，如果比选申请人发现中选人存在比选材料与比选公告要求不符、弄虚作假等情形，比选人有权取消中选资格或是单方面无条件解除合同，一切责任由比选申请人自行承担；</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因本项目目前处于前期筹备阶段，存在一定的不确定性。比选人发出中标通知书后，中选人应按照比选人书面通知的时间与比选人签订正式合同。无论任何原因导致本项目终止的，比选人有权不再组织中选人签订正式合同，中标通知书自动作废，比选人不承担任何责任，并由中选人承担因本项目比选投标所产生的一切费用。</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4.未尽事宜，以比选人最终通知为准。本项目比选文件的解释权归四川交投物流有限公司。</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（十一）发布公告的媒介</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本次比选公告在</w:t>
      </w:r>
      <w:r>
        <w:rPr>
          <w:rFonts w:hint="eastAsia" w:ascii="仿宋_GB2312" w:hAnsi="仿宋_GB2312" w:eastAsia="仿宋_GB2312" w:cs="仿宋_GB2312"/>
          <w:sz w:val="32"/>
          <w:szCs w:val="32"/>
          <w:highlight w:val="none"/>
          <w:shd w:val="clear" w:color="auto" w:fill="FFFFFF"/>
        </w:rPr>
        <w:t>蜀道投资集团有限责任公司网站上发布</w:t>
      </w:r>
      <w:r>
        <w:rPr>
          <w:rFonts w:hint="eastAsia" w:ascii="仿宋_GB2312" w:hAnsi="仿宋_GB2312" w:eastAsia="仿宋_GB2312" w:cs="仿宋_GB2312"/>
          <w:sz w:val="32"/>
          <w:szCs w:val="32"/>
          <w:highlight w:val="none"/>
        </w:rPr>
        <w:t>。</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（十二）联系方式</w:t>
      </w:r>
    </w:p>
    <w:p>
      <w:pPr>
        <w:pStyle w:val="11"/>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比选人：蜀道物流集团筹建工作组</w:t>
      </w:r>
    </w:p>
    <w:p>
      <w:pPr>
        <w:pStyle w:val="11"/>
        <w:widowControl/>
        <w:spacing w:beforeAutospacing="0" w:afterAutospacing="0"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联 系 人：</w:t>
      </w:r>
      <w:r>
        <w:rPr>
          <w:rFonts w:hint="eastAsia" w:ascii="仿宋_GB2312" w:hAnsi="仿宋_GB2312" w:eastAsia="仿宋_GB2312" w:cs="仿宋_GB2312"/>
          <w:sz w:val="32"/>
          <w:szCs w:val="32"/>
          <w:highlight w:val="none"/>
          <w:lang w:val="en-US" w:eastAsia="zh-CN"/>
        </w:rPr>
        <w:t>张女士</w:t>
      </w:r>
    </w:p>
    <w:p>
      <w:pPr>
        <w:pStyle w:val="11"/>
        <w:widowControl/>
        <w:spacing w:beforeAutospacing="0" w:afterAutospacing="0"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电    话：</w:t>
      </w:r>
      <w:r>
        <w:rPr>
          <w:rFonts w:hint="eastAsia" w:ascii="仿宋_GB2312" w:hAnsi="仿宋_GB2312" w:eastAsia="仿宋_GB2312" w:cs="仿宋_GB2312"/>
          <w:sz w:val="32"/>
          <w:szCs w:val="32"/>
          <w:highlight w:val="none"/>
          <w:lang w:val="en-US" w:eastAsia="zh-CN"/>
        </w:rPr>
        <w:t>028-86721656</w:t>
      </w:r>
    </w:p>
    <w:p>
      <w:pPr>
        <w:spacing w:line="360" w:lineRule="auto"/>
        <w:ind w:firstLine="640" w:firstLineChars="200"/>
        <w:rPr>
          <w:rFonts w:ascii="仿宋_GB2312" w:hAnsi="仿宋" w:eastAsia="仿宋_GB2312"/>
          <w:sz w:val="32"/>
          <w:szCs w:val="32"/>
          <w:highlight w:val="none"/>
        </w:rPr>
      </w:pPr>
      <w:r>
        <w:rPr>
          <w:rFonts w:hint="eastAsia" w:ascii="仿宋_GB2312" w:hAnsi="仿宋_GB2312" w:eastAsia="仿宋_GB2312" w:cs="仿宋_GB2312"/>
          <w:sz w:val="32"/>
          <w:szCs w:val="32"/>
          <w:highlight w:val="none"/>
        </w:rPr>
        <w:t>地    址：</w:t>
      </w:r>
      <w:r>
        <w:rPr>
          <w:rFonts w:hint="eastAsia" w:ascii="仿宋_GB2312" w:hAnsi="仿宋" w:eastAsia="仿宋_GB2312"/>
          <w:sz w:val="32"/>
          <w:szCs w:val="32"/>
          <w:highlight w:val="none"/>
        </w:rPr>
        <w:t>四川交投物流有限公司（成都市锦江区三色路银海芯座B栋22楼2217办公室）。</w:t>
      </w:r>
    </w:p>
    <w:p>
      <w:pPr>
        <w:pStyle w:val="11"/>
        <w:widowControl/>
        <w:spacing w:beforeAutospacing="0" w:afterAutospacing="0" w:line="560" w:lineRule="exact"/>
        <w:ind w:firstLine="640" w:firstLineChars="200"/>
        <w:rPr>
          <w:rFonts w:ascii="黑体" w:eastAsia="黑体"/>
          <w:sz w:val="32"/>
          <w:szCs w:val="32"/>
          <w:highlight w:val="none"/>
        </w:rPr>
      </w:pPr>
      <w:r>
        <w:rPr>
          <w:rFonts w:hint="eastAsia" w:ascii="黑体" w:hAnsi="黑体" w:eastAsia="黑体" w:cs="黑体"/>
          <w:sz w:val="32"/>
          <w:szCs w:val="32"/>
          <w:highlight w:val="none"/>
        </w:rPr>
        <w:t>二、比选应遵循的原则</w:t>
      </w:r>
      <w:bookmarkEnd w:id="0"/>
      <w:bookmarkEnd w:id="1"/>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比选遵循公开、公平、公正、竞争和择优的原则。</w:t>
      </w:r>
      <w:bookmarkStart w:id="2" w:name="_Toc448516842"/>
      <w:bookmarkStart w:id="3" w:name="_Toc1301421"/>
    </w:p>
    <w:p>
      <w:pPr>
        <w:spacing w:line="360" w:lineRule="auto"/>
        <w:ind w:firstLine="640" w:firstLineChars="200"/>
        <w:rPr>
          <w:rFonts w:ascii="黑体" w:eastAsia="黑体"/>
          <w:sz w:val="32"/>
          <w:szCs w:val="32"/>
          <w:highlight w:val="none"/>
        </w:rPr>
      </w:pPr>
      <w:r>
        <w:rPr>
          <w:rFonts w:hint="eastAsia" w:ascii="黑体" w:eastAsia="黑体"/>
          <w:sz w:val="32"/>
          <w:szCs w:val="32"/>
          <w:highlight w:val="none"/>
        </w:rPr>
        <w:t>三、中选准则</w:t>
      </w:r>
      <w:bookmarkEnd w:id="2"/>
      <w:bookmarkEnd w:id="3"/>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（一）中选将授予比选申请符合比选文件要求、能圆满履行合同、对比选人最为有利的参选机构。</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（二）最低比选报价不是中选和最终签订合同的唯一条件。</w:t>
      </w:r>
      <w:bookmarkStart w:id="4" w:name="_Toc448516843"/>
      <w:bookmarkStart w:id="5" w:name="_Toc1301422"/>
    </w:p>
    <w:p>
      <w:pPr>
        <w:spacing w:line="360" w:lineRule="auto"/>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四、比选程序</w:t>
      </w:r>
      <w:bookmarkEnd w:id="4"/>
      <w:bookmarkEnd w:id="5"/>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比选程序主要包括：发布比选公告、接受咨询和考察、制作比选申请文件和提交比选申请文件、组织评比、确定中选人、发出中选通知。</w:t>
      </w:r>
      <w:bookmarkStart w:id="6" w:name="_Toc1301423"/>
      <w:bookmarkStart w:id="7" w:name="_Toc448516844"/>
    </w:p>
    <w:p>
      <w:pPr>
        <w:spacing w:line="360" w:lineRule="auto"/>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五、比选参选人</w:t>
      </w:r>
      <w:bookmarkEnd w:id="6"/>
      <w:bookmarkEnd w:id="7"/>
      <w:r>
        <w:rPr>
          <w:rFonts w:hint="eastAsia" w:ascii="黑体" w:hAnsi="黑体" w:eastAsia="黑体" w:cs="黑体"/>
          <w:sz w:val="32"/>
          <w:szCs w:val="32"/>
          <w:highlight w:val="none"/>
        </w:rPr>
        <w:t>须知</w:t>
      </w:r>
    </w:p>
    <w:p>
      <w:pPr>
        <w:spacing w:line="360" w:lineRule="auto"/>
        <w:ind w:firstLine="643" w:firstLineChars="200"/>
        <w:rPr>
          <w:rFonts w:ascii="楷体_GB2312" w:hAnsi="仿宋" w:eastAsia="楷体_GB2312"/>
          <w:b/>
          <w:bCs/>
          <w:sz w:val="32"/>
          <w:szCs w:val="32"/>
          <w:highlight w:val="none"/>
        </w:rPr>
      </w:pPr>
      <w:r>
        <w:rPr>
          <w:rFonts w:hint="eastAsia" w:ascii="楷体_GB2312" w:hAnsi="仿宋" w:eastAsia="楷体_GB2312"/>
          <w:b/>
          <w:bCs/>
          <w:sz w:val="32"/>
          <w:szCs w:val="32"/>
          <w:highlight w:val="none"/>
        </w:rPr>
        <w:t xml:space="preserve">（一）比选申请文件 </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参选机构应提交比选申请文件。比选申请文件应按“正本”一套和“副本”五套分别用信封或文件盒(箱)密封，并清楚标明“正本”或“副本”字样后递交。如出现“正本”与“副本”不符之情况，以“正本”为准。</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比选申请文件正本和副本封面还应分别标明比选申请文件名称、参选机构名称和法定代表人签名，并加盖参选机构公章。若是由授权代理人签名，则应在比选申请文件中附有授权委托书。每一密封的信封或文件盒(箱)应注明“于2021年</w:t>
      </w:r>
      <w:r>
        <w:rPr>
          <w:rFonts w:ascii="仿宋_GB2312" w:hAnsi="仿宋_GB2312" w:eastAsia="仿宋_GB2312" w:cs="仿宋_GB2312"/>
          <w:sz w:val="32"/>
          <w:szCs w:val="32"/>
          <w:highlight w:val="none"/>
        </w:rPr>
        <w:t>11</w:t>
      </w:r>
      <w:r>
        <w:rPr>
          <w:rFonts w:hint="eastAsia" w:ascii="仿宋_GB2312" w:hAnsi="仿宋" w:eastAsia="仿宋_GB2312"/>
          <w:sz w:val="32"/>
          <w:szCs w:val="32"/>
          <w:highlight w:val="none"/>
        </w:rPr>
        <w:t>月</w:t>
      </w:r>
      <w:r>
        <w:rPr>
          <w:rFonts w:ascii="仿宋_GB2312" w:hAnsi="仿宋_GB2312" w:eastAsia="仿宋_GB2312" w:cs="仿宋_GB2312"/>
          <w:sz w:val="32"/>
          <w:szCs w:val="32"/>
          <w:highlight w:val="none"/>
        </w:rPr>
        <w:t>18</w:t>
      </w:r>
      <w:r>
        <w:rPr>
          <w:rFonts w:hint="eastAsia" w:ascii="仿宋_GB2312" w:hAnsi="仿宋" w:eastAsia="仿宋_GB2312"/>
          <w:sz w:val="32"/>
          <w:szCs w:val="32"/>
          <w:highlight w:val="none"/>
        </w:rPr>
        <w:t>日10时00分之前不准启封”的字样，并加盖骑缝章。</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3.比选申请文件应采用中文写成，并统一用A4纸打印装订成册，分正本一套和副本五套分别密封，比选申请文件每套均应包括但不限于以下内容：</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（1）比选申请书(样本见附件一)；</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（2）法定代表人身份证复印件。如果有委托代理人的，应同时附法定代表人授权书(样本见附件二)、法定代表人身份证复印件、委托代理人身份证复印件；</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（3）工作方案、保证措施及</w:t>
      </w:r>
      <w:r>
        <w:rPr>
          <w:rFonts w:ascii="仿宋_GB2312" w:hAnsi="仿宋" w:eastAsia="仿宋_GB2312"/>
          <w:sz w:val="32"/>
          <w:szCs w:val="32"/>
          <w:highlight w:val="none"/>
        </w:rPr>
        <w:t>时间进度表</w:t>
      </w:r>
      <w:r>
        <w:rPr>
          <w:rFonts w:hint="eastAsia" w:ascii="仿宋_GB2312" w:hAnsi="仿宋" w:eastAsia="仿宋_GB2312"/>
          <w:sz w:val="32"/>
          <w:szCs w:val="32"/>
          <w:highlight w:val="none"/>
        </w:rPr>
        <w:t>；</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（4）项目小组构成，项目负责人、现场负责人及成员简介及其相关资格证书的复印件(样本见附件三)；</w:t>
      </w:r>
      <w:r>
        <w:rPr>
          <w:rFonts w:ascii="仿宋_GB2312" w:hAnsi="仿宋" w:eastAsia="仿宋_GB2312"/>
          <w:sz w:val="32"/>
          <w:szCs w:val="32"/>
          <w:highlight w:val="none"/>
        </w:rPr>
        <w:t xml:space="preserve"> </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（5）比选报价，即对人力资源咨询服务项目的包干总价服务费（样本见附件四）；</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（6）营业执照副本、相关咨询资质影印件；</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（7）承诺书（样本见附件五）与保密承诺函(样本见附件六)；</w:t>
      </w:r>
    </w:p>
    <w:p>
      <w:pPr>
        <w:ind w:left="19" w:leftChars="9" w:firstLine="617" w:firstLineChars="193"/>
        <w:rPr>
          <w:rFonts w:ascii="仿宋_GB2312" w:hAnsi="仿宋" w:eastAsia="仿宋_GB2312"/>
          <w:sz w:val="32"/>
          <w:szCs w:val="32"/>
          <w:highlight w:val="none"/>
        </w:rPr>
      </w:pPr>
      <w:r>
        <w:rPr>
          <w:rFonts w:hint="eastAsia" w:ascii="仿宋_GB2312" w:hAnsi="仿宋" w:eastAsia="仿宋_GB2312"/>
          <w:sz w:val="32"/>
          <w:szCs w:val="32"/>
          <w:highlight w:val="none"/>
        </w:rPr>
        <w:t>（8）近年完成人力资源咨询服务项目清单，并提供相应的证明材料。</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注：以上材料均应加盖参选单位公章</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4.参选机构未按本条第1、2点规定执行(如未进行正副本分装、密封和标记等)，以及逾期送达比选申请文件的，比选人应视该比选申请文件未能对比选文件做出实质响应，该比选申请文件作废。</w:t>
      </w:r>
    </w:p>
    <w:p>
      <w:pPr>
        <w:spacing w:line="360" w:lineRule="auto"/>
        <w:ind w:firstLine="660"/>
        <w:rPr>
          <w:rFonts w:ascii="仿宋_GB2312" w:hAnsi="仿宋" w:eastAsia="仿宋_GB2312"/>
          <w:sz w:val="32"/>
          <w:szCs w:val="32"/>
          <w:highlight w:val="none"/>
        </w:rPr>
      </w:pPr>
      <w:r>
        <w:rPr>
          <w:rFonts w:hint="eastAsia" w:ascii="仿宋_GB2312" w:hAnsi="仿宋" w:eastAsia="仿宋_GB2312"/>
          <w:sz w:val="32"/>
          <w:szCs w:val="32"/>
          <w:highlight w:val="none"/>
        </w:rPr>
        <w:t>5.比选人拒绝接受以电报、电话、传真、电子邮件形式递交比选申请文件，或在比选文件规定截止时间后递交的比选申请文件。</w:t>
      </w:r>
    </w:p>
    <w:p>
      <w:pPr>
        <w:spacing w:line="360" w:lineRule="auto"/>
        <w:ind w:firstLine="643" w:firstLineChars="200"/>
        <w:rPr>
          <w:rFonts w:ascii="楷体_GB2312" w:hAnsi="仿宋" w:eastAsia="楷体_GB2312"/>
          <w:b/>
          <w:bCs/>
          <w:sz w:val="32"/>
          <w:szCs w:val="32"/>
          <w:highlight w:val="none"/>
        </w:rPr>
      </w:pPr>
      <w:r>
        <w:rPr>
          <w:rFonts w:hint="eastAsia" w:ascii="楷体_GB2312" w:hAnsi="仿宋" w:eastAsia="楷体_GB2312"/>
          <w:b/>
          <w:bCs/>
          <w:sz w:val="32"/>
          <w:szCs w:val="32"/>
          <w:highlight w:val="none"/>
        </w:rPr>
        <w:t>（二）比选申请文件递交</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1.递交时间及地点：2021年</w:t>
      </w:r>
      <w:r>
        <w:rPr>
          <w:rFonts w:ascii="仿宋_GB2312" w:hAnsi="仿宋" w:eastAsia="仿宋_GB2312"/>
          <w:sz w:val="32"/>
          <w:szCs w:val="32"/>
          <w:highlight w:val="none"/>
        </w:rPr>
        <w:t>11</w:t>
      </w:r>
      <w:r>
        <w:rPr>
          <w:rFonts w:hint="eastAsia" w:ascii="仿宋_GB2312" w:hAnsi="仿宋" w:eastAsia="仿宋_GB2312"/>
          <w:sz w:val="32"/>
          <w:szCs w:val="32"/>
          <w:highlight w:val="none"/>
        </w:rPr>
        <w:t>月</w:t>
      </w:r>
      <w:r>
        <w:rPr>
          <w:rFonts w:ascii="仿宋_GB2312" w:hAnsi="仿宋" w:eastAsia="仿宋_GB2312"/>
          <w:sz w:val="32"/>
          <w:szCs w:val="32"/>
          <w:highlight w:val="none"/>
        </w:rPr>
        <w:t>18</w:t>
      </w:r>
      <w:r>
        <w:rPr>
          <w:rFonts w:hint="eastAsia" w:ascii="仿宋_GB2312" w:hAnsi="仿宋" w:eastAsia="仿宋_GB2312"/>
          <w:sz w:val="32"/>
          <w:szCs w:val="32"/>
          <w:highlight w:val="none"/>
        </w:rPr>
        <w:t>日</w:t>
      </w:r>
      <w:r>
        <w:rPr>
          <w:rFonts w:hint="eastAsia" w:ascii="仿宋_GB2312" w:hAnsi="仿宋_GB2312" w:eastAsia="仿宋_GB2312" w:cs="仿宋_GB2312"/>
          <w:sz w:val="32"/>
          <w:szCs w:val="32"/>
          <w:highlight w:val="none"/>
        </w:rPr>
        <w:t>9:00至10:00</w:t>
      </w:r>
      <w:r>
        <w:rPr>
          <w:rFonts w:hint="eastAsia" w:ascii="仿宋_GB2312" w:hAnsi="仿宋" w:eastAsia="仿宋_GB2312"/>
          <w:sz w:val="32"/>
          <w:szCs w:val="32"/>
          <w:highlight w:val="none"/>
        </w:rPr>
        <w:t>递交至四川交投物流有限公司（成都市锦江区三色路银海芯座B栋22楼2217办公室）。</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2.联系电话：</w:t>
      </w:r>
      <w:r>
        <w:rPr>
          <w:rFonts w:hint="eastAsia" w:ascii="仿宋_GB2312" w:hAnsi="仿宋_GB2312" w:eastAsia="仿宋_GB2312" w:cs="仿宋_GB2312"/>
          <w:sz w:val="32"/>
          <w:szCs w:val="32"/>
          <w:highlight w:val="none"/>
        </w:rPr>
        <w:t>028-</w:t>
      </w:r>
      <w:r>
        <w:rPr>
          <w:rFonts w:hint="eastAsia" w:ascii="仿宋_GB2312" w:hAnsi="仿宋_GB2312" w:eastAsia="仿宋_GB2312" w:cs="仿宋_GB2312"/>
          <w:sz w:val="32"/>
          <w:szCs w:val="32"/>
          <w:highlight w:val="none"/>
          <w:lang w:val="en-US" w:eastAsia="zh-CN"/>
        </w:rPr>
        <w:t>86721656</w:t>
      </w:r>
    </w:p>
    <w:p>
      <w:pPr>
        <w:spacing w:line="360" w:lineRule="auto"/>
        <w:ind w:firstLine="643" w:firstLineChars="200"/>
        <w:rPr>
          <w:rFonts w:ascii="楷体_GB2312" w:hAnsi="仿宋" w:eastAsia="楷体_GB2312"/>
          <w:b/>
          <w:bCs/>
          <w:sz w:val="32"/>
          <w:szCs w:val="32"/>
          <w:highlight w:val="none"/>
        </w:rPr>
      </w:pPr>
      <w:r>
        <w:rPr>
          <w:rFonts w:hint="eastAsia" w:ascii="楷体_GB2312" w:hAnsi="仿宋" w:eastAsia="楷体_GB2312"/>
          <w:b/>
          <w:bCs/>
          <w:sz w:val="32"/>
          <w:szCs w:val="32"/>
          <w:highlight w:val="none"/>
        </w:rPr>
        <w:t>（三）比选报价</w:t>
      </w:r>
    </w:p>
    <w:p>
      <w:pPr>
        <w:spacing w:line="360" w:lineRule="auto"/>
        <w:ind w:firstLine="660"/>
        <w:rPr>
          <w:rFonts w:ascii="仿宋_GB2312" w:hAnsi="仿宋" w:eastAsia="仿宋_GB2312"/>
          <w:sz w:val="32"/>
          <w:szCs w:val="32"/>
          <w:highlight w:val="none"/>
        </w:rPr>
      </w:pPr>
      <w:r>
        <w:rPr>
          <w:rFonts w:hint="eastAsia" w:ascii="仿宋_GB2312" w:hAnsi="仿宋" w:eastAsia="仿宋_GB2312"/>
          <w:sz w:val="32"/>
          <w:szCs w:val="32"/>
          <w:highlight w:val="none"/>
        </w:rPr>
        <w:t>1.参选机构应对比选报价进行严格的费用预算。所有参加本次比选的机构应充分计算和考虑其完成投标项目需要支付的差旅费等各项费用并计入投标报价总价，</w:t>
      </w:r>
      <w:r>
        <w:rPr>
          <w:rFonts w:hint="eastAsia" w:ascii="仿宋_GB2312" w:hAnsi="仿宋_GB2312" w:eastAsia="仿宋_GB2312" w:cs="仿宋_GB2312"/>
          <w:sz w:val="32"/>
          <w:szCs w:val="32"/>
          <w:highlight w:val="none"/>
        </w:rPr>
        <w:t>蜀道物流集团筹建工作组</w:t>
      </w:r>
      <w:r>
        <w:rPr>
          <w:rFonts w:hint="eastAsia" w:ascii="仿宋_GB2312" w:hAnsi="仿宋" w:eastAsia="仿宋_GB2312"/>
          <w:sz w:val="32"/>
          <w:szCs w:val="32"/>
          <w:highlight w:val="none"/>
        </w:rPr>
        <w:t>不负责承担参选机构因中标后开展项目应支付的差旅费及其他费用。</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2.参选机构的比选报价应费用适中，不得以低于成本的报价进行恶性竞争，最低比选报价并非中选的唯一条件。</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3.参选机构的比选报价应是固定价，而非浮动价，比选报价</w:t>
      </w:r>
      <w:r>
        <w:rPr>
          <w:rFonts w:ascii="仿宋_GB2312" w:hAnsi="仿宋" w:eastAsia="仿宋_GB2312"/>
          <w:sz w:val="32"/>
          <w:szCs w:val="32"/>
          <w:highlight w:val="none"/>
        </w:rPr>
        <w:t>50</w:t>
      </w:r>
      <w:r>
        <w:rPr>
          <w:rFonts w:hint="eastAsia" w:ascii="仿宋_GB2312" w:hAnsi="仿宋" w:eastAsia="仿宋_GB2312"/>
          <w:sz w:val="32"/>
          <w:szCs w:val="32"/>
          <w:highlight w:val="none"/>
        </w:rPr>
        <w:t>万元以内。</w:t>
      </w:r>
    </w:p>
    <w:p>
      <w:pPr>
        <w:spacing w:line="360" w:lineRule="auto"/>
        <w:ind w:firstLine="643" w:firstLineChars="200"/>
        <w:rPr>
          <w:rFonts w:ascii="楷体_GB2312" w:hAnsi="仿宋" w:eastAsia="楷体_GB2312"/>
          <w:b/>
          <w:bCs/>
          <w:sz w:val="32"/>
          <w:szCs w:val="32"/>
          <w:highlight w:val="none"/>
        </w:rPr>
      </w:pPr>
      <w:r>
        <w:rPr>
          <w:rFonts w:hint="eastAsia" w:ascii="楷体_GB2312" w:hAnsi="仿宋" w:eastAsia="楷体_GB2312"/>
          <w:b/>
          <w:bCs/>
          <w:sz w:val="32"/>
          <w:szCs w:val="32"/>
          <w:highlight w:val="none"/>
        </w:rPr>
        <w:t>（四）参选项目</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1.参选各单位按照比选文件规定，根据本机构实际资质条件，报名参加该项目的比选。</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2.中选人不得将中选项目转包或分包给其他单位或个人，一经发现将停止其工作，取消本次中选资格，并报行业行政主管部门处理，由其承担因此产生的一切法律责任。</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3.参选机构一旦中选，应严格按照国家有关法律法规规定开展工作，在工作期间，不得更换项目组具体成员，且必须在约定的时间内，保证工作质量，完成工作。</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4.中选人需为比选人提供如下服务：</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（1）为比选人做人力资源咨询服务，包括所属企业职业经理人管理方案与中长期激励机制设计。</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（2）安排专人响应比选人业务需求；</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（3）随时接受口头或电话咨询；</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（4）参加比选人相关业务会议；</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（5）负责出具完整的项目成果文件，通过成果汇报。</w:t>
      </w:r>
    </w:p>
    <w:p>
      <w:pPr>
        <w:spacing w:line="360" w:lineRule="auto"/>
        <w:ind w:firstLine="643" w:firstLineChars="200"/>
        <w:rPr>
          <w:rFonts w:ascii="楷体_GB2312" w:hAnsi="仿宋" w:eastAsia="楷体_GB2312"/>
          <w:b/>
          <w:bCs/>
          <w:sz w:val="32"/>
          <w:szCs w:val="32"/>
          <w:highlight w:val="none"/>
        </w:rPr>
      </w:pPr>
      <w:r>
        <w:rPr>
          <w:rFonts w:hint="eastAsia" w:ascii="楷体_GB2312" w:hAnsi="仿宋" w:eastAsia="楷体_GB2312"/>
          <w:b/>
          <w:bCs/>
          <w:sz w:val="32"/>
          <w:szCs w:val="32"/>
          <w:highlight w:val="none"/>
        </w:rPr>
        <w:t>（五）其他事项</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参选机构应按比选文件规定，按比选项目制作比选申请文件，并对比选申请文件的真实、有效和准确性负责。比选申请文件未按比选文件规定制作的，视为该比选申请文件未能对比选文件做出实质响应，该比选申请文件作废。</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2.评审后，</w:t>
      </w:r>
      <w:r>
        <w:rPr>
          <w:rFonts w:hint="eastAsia" w:ascii="仿宋_GB2312" w:hAnsi="仿宋" w:eastAsia="仿宋_GB2312"/>
          <w:sz w:val="32"/>
          <w:szCs w:val="32"/>
          <w:highlight w:val="none"/>
          <w:lang w:val="zh-CN" w:bidi="zh-CN"/>
        </w:rPr>
        <w:t>评</w:t>
      </w:r>
      <w:r>
        <w:rPr>
          <w:rFonts w:hint="eastAsia" w:ascii="仿宋_GB2312" w:hAnsi="仿宋" w:eastAsia="仿宋_GB2312"/>
          <w:sz w:val="32"/>
          <w:szCs w:val="32"/>
          <w:highlight w:val="none"/>
          <w:lang w:bidi="zh-CN"/>
        </w:rPr>
        <w:t>审</w:t>
      </w:r>
      <w:r>
        <w:rPr>
          <w:rFonts w:hint="eastAsia" w:ascii="仿宋_GB2312" w:hAnsi="仿宋" w:eastAsia="仿宋_GB2312"/>
          <w:sz w:val="32"/>
          <w:szCs w:val="32"/>
          <w:highlight w:val="none"/>
          <w:lang w:val="zh-CN" w:bidi="zh-CN"/>
        </w:rPr>
        <w:t>结果在</w:t>
      </w:r>
      <w:r>
        <w:rPr>
          <w:rFonts w:hint="eastAsia" w:ascii="仿宋_GB2312" w:hAnsi="仿宋_GB2312" w:eastAsia="仿宋_GB2312" w:cs="仿宋_GB2312"/>
          <w:sz w:val="32"/>
          <w:szCs w:val="32"/>
          <w:highlight w:val="none"/>
          <w:shd w:val="clear" w:color="auto" w:fill="FFFFFF"/>
        </w:rPr>
        <w:t>蜀道投资集团有限责任公司(http://www.shudaojt.com/index.html)</w:t>
      </w:r>
      <w:r>
        <w:rPr>
          <w:rFonts w:hint="eastAsia" w:ascii="仿宋_GB2312" w:hAnsi="仿宋" w:eastAsia="仿宋_GB2312"/>
          <w:sz w:val="32"/>
          <w:szCs w:val="32"/>
          <w:highlight w:val="none"/>
          <w:lang w:val="zh-CN" w:bidi="zh-CN"/>
        </w:rPr>
        <w:t>上公示</w:t>
      </w:r>
      <w:r>
        <w:rPr>
          <w:rFonts w:ascii="仿宋_GB2312" w:hAnsi="仿宋" w:eastAsia="仿宋_GB2312"/>
          <w:sz w:val="32"/>
          <w:szCs w:val="32"/>
          <w:highlight w:val="none"/>
          <w:lang w:bidi="zh-CN"/>
        </w:rPr>
        <w:t>3</w:t>
      </w:r>
      <w:r>
        <w:rPr>
          <w:rFonts w:hint="eastAsia" w:ascii="仿宋_GB2312" w:hAnsi="仿宋" w:eastAsia="仿宋_GB2312"/>
          <w:sz w:val="32"/>
          <w:szCs w:val="32"/>
          <w:highlight w:val="none"/>
          <w:lang w:val="zh-CN" w:bidi="zh-CN"/>
        </w:rPr>
        <w:t>个工作日以接受社会公开监督</w:t>
      </w:r>
      <w:r>
        <w:rPr>
          <w:rFonts w:hint="eastAsia" w:ascii="仿宋_GB2312" w:hAnsi="仿宋" w:eastAsia="仿宋_GB2312"/>
          <w:sz w:val="32"/>
          <w:szCs w:val="32"/>
          <w:highlight w:val="none"/>
        </w:rPr>
        <w:t>，比选人不承担对未中选参选机构的解释责任。</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3.参选机构在本次比选过程中如有欺诈、串通作弊、中途无故退出、中选后不承担比选工作任务，或提出其他未在参选文件中明确的条件等行为，比选投标文件将作废。</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4.参选机构在比选过程中发生的一切费用，无论是否中选，均由其自行承担。</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5.无论比选结果如何，参选机构向比选人递交的一切文件资料不予退还。</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6.任何要求对比选文件澄清的参选机构，均应以书面形式(包括电报、电传、传真)通知比选人。比选人将视情况确定采用适当方式予以澄清或以书面形式予以答复，并在其认为必要时，将不标明查询来源的书面答复寄送给每个参选机构。</w:t>
      </w:r>
    </w:p>
    <w:p>
      <w:pPr>
        <w:spacing w:line="360" w:lineRule="auto"/>
        <w:ind w:firstLine="645"/>
        <w:rPr>
          <w:rFonts w:ascii="仿宋_GB2312" w:hAnsi="仿宋" w:eastAsia="仿宋_GB2312"/>
          <w:sz w:val="32"/>
          <w:szCs w:val="32"/>
          <w:highlight w:val="none"/>
        </w:rPr>
      </w:pPr>
      <w:r>
        <w:rPr>
          <w:rFonts w:hint="eastAsia" w:ascii="仿宋_GB2312" w:hAnsi="仿宋" w:eastAsia="仿宋_GB2312"/>
          <w:sz w:val="32"/>
          <w:szCs w:val="32"/>
          <w:highlight w:val="none"/>
        </w:rPr>
        <w:t>7.在比选文件规定比选申请文件递交截止日期前</w:t>
      </w:r>
      <w:r>
        <w:rPr>
          <w:rFonts w:ascii="仿宋_GB2312" w:hAnsi="仿宋" w:eastAsia="仿宋_GB2312"/>
          <w:sz w:val="32"/>
          <w:szCs w:val="32"/>
          <w:highlight w:val="none"/>
        </w:rPr>
        <w:t>2</w:t>
      </w:r>
      <w:r>
        <w:rPr>
          <w:rFonts w:hint="eastAsia" w:ascii="仿宋_GB2312" w:hAnsi="仿宋" w:eastAsia="仿宋_GB2312"/>
          <w:sz w:val="32"/>
          <w:szCs w:val="32"/>
          <w:highlight w:val="none"/>
        </w:rPr>
        <w:t>天，无论出于何种原因，比选人可主动地或在解答参选机构要求澄清的问题时对比选文件进行修改。</w:t>
      </w:r>
    </w:p>
    <w:p>
      <w:pPr>
        <w:spacing w:line="360" w:lineRule="auto"/>
        <w:ind w:firstLine="645"/>
        <w:rPr>
          <w:rFonts w:ascii="仿宋_GB2312" w:hAnsi="仿宋" w:eastAsia="仿宋_GB2312"/>
          <w:sz w:val="32"/>
          <w:szCs w:val="32"/>
          <w:highlight w:val="none"/>
        </w:rPr>
      </w:pPr>
      <w:r>
        <w:rPr>
          <w:rFonts w:hint="eastAsia" w:ascii="仿宋_GB2312" w:hAnsi="仿宋" w:eastAsia="仿宋_GB2312"/>
          <w:sz w:val="32"/>
          <w:szCs w:val="32"/>
          <w:highlight w:val="none"/>
        </w:rPr>
        <w:t>8.比选文件的修改将以书面形式通知所有参选机构，参选机构在收到该通知后应立即以书面的形式予以确认，为使参选机构在准备比选申请文件时，有充分的时间进行研究和修改，比选组织可自行决定，酌情推迟比选申请文件递交截止日期，并以书面形式通知所有参选机构。</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9.比选文件的修改书将构成比选文件的一部分，对参与双方都具有约束力。</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10.</w:t>
      </w:r>
      <w:r>
        <w:rPr>
          <w:rFonts w:hint="eastAsia" w:eastAsia="仿宋_GB2312"/>
          <w:kern w:val="0"/>
          <w:sz w:val="32"/>
          <w:szCs w:val="32"/>
          <w:highlight w:val="none"/>
        </w:rPr>
        <w:t>因本项目目前处于前期筹备阶段，存在一定的不确定性。比选人发出中标通知书后，中选人应按照比选人书面通知的时间与比选人签订正式合同。无论任何原因导致本项目终止的，比选人有权不再组织中选人签订正式合同，中标通知书自动作废，比选人不承担任何责任，并由中选人承担因本项目比选投标所产生的一切费用。</w:t>
      </w:r>
    </w:p>
    <w:p>
      <w:pPr>
        <w:spacing w:line="360" w:lineRule="auto"/>
        <w:ind w:firstLine="573"/>
        <w:rPr>
          <w:rFonts w:ascii="仿宋_GB2312" w:hAnsi="仿宋" w:eastAsia="仿宋_GB2312"/>
          <w:sz w:val="32"/>
          <w:szCs w:val="32"/>
          <w:highlight w:val="none"/>
        </w:rPr>
      </w:pPr>
      <w:r>
        <w:rPr>
          <w:rFonts w:hint="eastAsia" w:ascii="仿宋_GB2312" w:hAnsi="仿宋" w:eastAsia="仿宋_GB2312"/>
          <w:sz w:val="32"/>
          <w:szCs w:val="32"/>
          <w:highlight w:val="none"/>
        </w:rPr>
        <w:t>11.参选机构应认真阅读比选文件中所有的事项、格式条款和规范要求等。参选机构没有对比选文件全面做出实质性响应是参选机构的风险。比选人有权拒绝没有对比选文件要求做出实质性响应的比选申请文件。</w:t>
      </w:r>
      <w:bookmarkStart w:id="8" w:name="_Toc448516845"/>
      <w:bookmarkStart w:id="9" w:name="_Toc1301424"/>
    </w:p>
    <w:p>
      <w:pPr>
        <w:spacing w:line="360" w:lineRule="auto"/>
        <w:ind w:firstLine="573"/>
        <w:rPr>
          <w:rFonts w:ascii="黑体" w:eastAsia="黑体"/>
          <w:sz w:val="32"/>
          <w:szCs w:val="32"/>
          <w:highlight w:val="none"/>
        </w:rPr>
      </w:pPr>
      <w:r>
        <w:rPr>
          <w:rFonts w:hint="eastAsia" w:ascii="黑体" w:eastAsia="黑体"/>
          <w:sz w:val="32"/>
          <w:szCs w:val="32"/>
          <w:highlight w:val="none"/>
        </w:rPr>
        <w:t>六、比选办法</w:t>
      </w:r>
      <w:bookmarkEnd w:id="8"/>
      <w:bookmarkEnd w:id="9"/>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w:t>
      </w:r>
      <w:bookmarkStart w:id="10" w:name="_Hlk15383115"/>
      <w:r>
        <w:rPr>
          <w:rFonts w:hint="eastAsia" w:eastAsia="仿宋_GB2312"/>
          <w:kern w:val="0"/>
          <w:sz w:val="32"/>
          <w:szCs w:val="32"/>
          <w:highlight w:val="none"/>
        </w:rPr>
        <w:t xml:space="preserve"> </w:t>
      </w:r>
      <w:bookmarkEnd w:id="10"/>
      <w:r>
        <w:rPr>
          <w:rFonts w:hint="eastAsia" w:eastAsia="仿宋_GB2312"/>
          <w:kern w:val="0"/>
          <w:sz w:val="32"/>
          <w:szCs w:val="32"/>
          <w:highlight w:val="none"/>
        </w:rPr>
        <w:t>本项目比选时间为</w:t>
      </w:r>
      <w:r>
        <w:rPr>
          <w:rFonts w:hint="eastAsia" w:ascii="仿宋_GB2312" w:eastAsia="仿宋_GB2312"/>
          <w:kern w:val="0"/>
          <w:sz w:val="32"/>
          <w:szCs w:val="32"/>
          <w:highlight w:val="none"/>
        </w:rPr>
        <w:t>2021年</w:t>
      </w:r>
      <w:r>
        <w:rPr>
          <w:rFonts w:ascii="仿宋_GB2312" w:eastAsia="仿宋_GB2312"/>
          <w:kern w:val="0"/>
          <w:sz w:val="32"/>
          <w:szCs w:val="32"/>
          <w:highlight w:val="none"/>
        </w:rPr>
        <w:t>11</w:t>
      </w:r>
      <w:r>
        <w:rPr>
          <w:rFonts w:hint="eastAsia" w:ascii="仿宋_GB2312" w:eastAsia="仿宋_GB2312"/>
          <w:kern w:val="0"/>
          <w:sz w:val="32"/>
          <w:szCs w:val="32"/>
          <w:highlight w:val="none"/>
        </w:rPr>
        <w:t>月</w:t>
      </w:r>
      <w:r>
        <w:rPr>
          <w:rFonts w:ascii="仿宋_GB2312" w:eastAsia="仿宋_GB2312"/>
          <w:kern w:val="0"/>
          <w:sz w:val="32"/>
          <w:szCs w:val="32"/>
          <w:highlight w:val="none"/>
        </w:rPr>
        <w:t>18</w:t>
      </w:r>
      <w:r>
        <w:rPr>
          <w:rFonts w:hint="eastAsia" w:ascii="仿宋_GB2312" w:eastAsia="仿宋_GB2312"/>
          <w:kern w:val="0"/>
          <w:sz w:val="32"/>
          <w:szCs w:val="32"/>
          <w:highlight w:val="none"/>
        </w:rPr>
        <w:t>日10时00分；</w:t>
      </w:r>
      <w:r>
        <w:rPr>
          <w:rFonts w:hint="eastAsia" w:eastAsia="仿宋_GB2312"/>
          <w:kern w:val="0"/>
          <w:sz w:val="32"/>
          <w:szCs w:val="32"/>
          <w:highlight w:val="none"/>
        </w:rPr>
        <w:t>比选地点为</w:t>
      </w:r>
      <w:r>
        <w:rPr>
          <w:rFonts w:hint="eastAsia" w:ascii="仿宋_GB2312" w:hAnsi="仿宋" w:eastAsia="仿宋_GB2312"/>
          <w:sz w:val="32"/>
          <w:szCs w:val="32"/>
          <w:highlight w:val="none"/>
        </w:rPr>
        <w:t>四川交投物流有限公司（成都市锦江区三色路银海芯座B栋22楼2217办公室）。</w:t>
      </w:r>
    </w:p>
    <w:p>
      <w:pPr>
        <w:spacing w:line="360" w:lineRule="auto"/>
        <w:ind w:firstLine="658"/>
        <w:rPr>
          <w:rFonts w:ascii="仿宋_GB2312" w:hAnsi="仿宋" w:eastAsia="仿宋_GB2312"/>
          <w:sz w:val="32"/>
          <w:szCs w:val="32"/>
          <w:highlight w:val="none"/>
        </w:rPr>
      </w:pPr>
      <w:r>
        <w:rPr>
          <w:rFonts w:hint="eastAsia" w:ascii="仿宋_GB2312" w:hAnsi="仿宋" w:eastAsia="仿宋_GB2312"/>
          <w:sz w:val="32"/>
          <w:szCs w:val="32"/>
          <w:highlight w:val="none"/>
        </w:rPr>
        <w:t>2.比选时，比选人将当众查验比选申请文件密封情况，参选机构代表身份证原件，确认无误后拆封，宣读参选机构名称、撤销比选申请通知(如果有)以及比选人认为合适的其他内容并加以记录。</w:t>
      </w:r>
    </w:p>
    <w:p>
      <w:pPr>
        <w:spacing w:line="360" w:lineRule="auto"/>
        <w:ind w:firstLine="660"/>
        <w:rPr>
          <w:rFonts w:ascii="仿宋_GB2312" w:hAnsi="仿宋" w:eastAsia="仿宋_GB2312"/>
          <w:sz w:val="32"/>
          <w:szCs w:val="32"/>
          <w:highlight w:val="none"/>
        </w:rPr>
      </w:pPr>
      <w:r>
        <w:rPr>
          <w:rFonts w:hint="eastAsia" w:ascii="仿宋_GB2312" w:hAnsi="仿宋" w:eastAsia="仿宋_GB2312"/>
          <w:sz w:val="32"/>
          <w:szCs w:val="32"/>
          <w:highlight w:val="none"/>
        </w:rPr>
        <w:t>3.对按本比选文件规定的格式、内容和要求制作的比选申请文件进行符合性审查，只有通过符合性审查的比选申请文件才能进入下一阶段的评审，符合性审查的主要内容如下：</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（1）比选申请文件是否齐全，是否按照比选文件规定的格式、内容填写；</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（2）比选申请文件正、副本是否按比选文件规定分别密封、标注，是否签字和加盖公章；</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（3）比选申请文件正、副本主要条款是否—致；</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（4）比选报价为固定价，而非浮动价；</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（5）比选申请文件是否按时递交；</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ascii="仿宋_GB2312" w:hAnsi="仿宋" w:eastAsia="仿宋_GB2312"/>
          <w:sz w:val="32"/>
          <w:szCs w:val="32"/>
          <w:highlight w:val="none"/>
        </w:rPr>
        <w:t>6</w:t>
      </w:r>
      <w:r>
        <w:rPr>
          <w:rFonts w:hint="eastAsia" w:ascii="仿宋_GB2312" w:hAnsi="仿宋" w:eastAsia="仿宋_GB2312"/>
          <w:sz w:val="32"/>
          <w:szCs w:val="32"/>
          <w:highlight w:val="none"/>
        </w:rPr>
        <w:t>）是否符合国家有关法规、文件和标准要求；</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ascii="仿宋_GB2312" w:hAnsi="仿宋" w:eastAsia="仿宋_GB2312"/>
          <w:sz w:val="32"/>
          <w:szCs w:val="32"/>
          <w:highlight w:val="none"/>
        </w:rPr>
        <w:t>7</w:t>
      </w:r>
      <w:r>
        <w:rPr>
          <w:rFonts w:hint="eastAsia" w:ascii="仿宋_GB2312" w:hAnsi="仿宋" w:eastAsia="仿宋_GB2312"/>
          <w:sz w:val="32"/>
          <w:szCs w:val="32"/>
          <w:highlight w:val="none"/>
        </w:rPr>
        <w:t>）比选申请文件是否附有比选人不能接受的条件。</w:t>
      </w:r>
    </w:p>
    <w:p>
      <w:pPr>
        <w:spacing w:line="360" w:lineRule="auto"/>
        <w:ind w:firstLine="645"/>
        <w:rPr>
          <w:rFonts w:ascii="仿宋_GB2312" w:hAnsi="仿宋" w:eastAsia="仿宋_GB2312"/>
          <w:sz w:val="32"/>
          <w:szCs w:val="32"/>
          <w:highlight w:val="none"/>
        </w:rPr>
      </w:pPr>
      <w:r>
        <w:rPr>
          <w:rFonts w:hint="eastAsia" w:ascii="仿宋_GB2312" w:hAnsi="仿宋" w:eastAsia="仿宋_GB2312"/>
          <w:sz w:val="32"/>
          <w:szCs w:val="32"/>
          <w:highlight w:val="none"/>
        </w:rPr>
        <w:t>4.无论何种原因，在比选时没有启封和宣读的比选申请文件在比选时将不予考虑，比选人对此不承担任何责任。</w:t>
      </w:r>
    </w:p>
    <w:p>
      <w:pPr>
        <w:spacing w:line="360" w:lineRule="auto"/>
        <w:ind w:firstLine="645"/>
        <w:rPr>
          <w:rFonts w:ascii="仿宋_GB2312" w:hAnsi="仿宋" w:eastAsia="仿宋_GB2312"/>
          <w:sz w:val="32"/>
          <w:szCs w:val="32"/>
          <w:highlight w:val="none"/>
        </w:rPr>
      </w:pPr>
      <w:r>
        <w:rPr>
          <w:rFonts w:hint="eastAsia" w:ascii="仿宋_GB2312" w:hAnsi="仿宋" w:eastAsia="仿宋_GB2312"/>
          <w:sz w:val="32"/>
          <w:szCs w:val="32"/>
          <w:highlight w:val="none"/>
        </w:rPr>
        <w:t>5.比选评审组判断比选申请文件的响应性仅基于比选申请文件本身而不能依靠外部证据。</w:t>
      </w:r>
    </w:p>
    <w:p>
      <w:pPr>
        <w:spacing w:line="360" w:lineRule="auto"/>
        <w:ind w:firstLine="645"/>
        <w:rPr>
          <w:rFonts w:ascii="仿宋_GB2312" w:hAnsi="仿宋" w:eastAsia="仿宋_GB2312"/>
          <w:sz w:val="32"/>
          <w:szCs w:val="32"/>
          <w:highlight w:val="none"/>
        </w:rPr>
      </w:pPr>
      <w:r>
        <w:rPr>
          <w:rFonts w:hint="eastAsia" w:ascii="仿宋_GB2312" w:hAnsi="仿宋" w:eastAsia="仿宋_GB2312"/>
          <w:sz w:val="32"/>
          <w:szCs w:val="32"/>
          <w:highlight w:val="none"/>
        </w:rPr>
        <w:t>6.为有助于对比选申请文件进行审查、评估和比较，比选人有权向参选机构质疑，请参选机构澄清其比选申请内容。参选机构须按照比选人通知的时间、地点指派专人进行答疑和澄清。</w:t>
      </w:r>
    </w:p>
    <w:p>
      <w:pPr>
        <w:spacing w:line="360" w:lineRule="auto"/>
        <w:ind w:firstLine="645"/>
        <w:rPr>
          <w:rFonts w:ascii="仿宋_GB2312" w:hAnsi="仿宋" w:eastAsia="仿宋_GB2312"/>
          <w:sz w:val="32"/>
          <w:szCs w:val="32"/>
          <w:highlight w:val="none"/>
        </w:rPr>
      </w:pPr>
      <w:r>
        <w:rPr>
          <w:rFonts w:hint="eastAsia" w:ascii="仿宋_GB2312" w:hAnsi="仿宋" w:eastAsia="仿宋_GB2312"/>
          <w:sz w:val="32"/>
          <w:szCs w:val="32"/>
          <w:highlight w:val="none"/>
        </w:rPr>
        <w:t>7.比选评审组评委根据比选文件规定对各参选机构的比选申请文件进行评议比较和打分。汇总各评委的评分结果，比选机构按得分高低顺序排出各项目比选名次。综合评分相同的，按报价评分由高到低顺序排列；综合评分相同，且报价评分相同的，按质量评分由高到低顺序排列；综合评分相同，且报价评分、质量评分均相同的，按保密评分由高到低顺序排列；综合评分相同，且报价评分、质量评分、保密评分均相同名次由评审组抽签决定，评审组按上述排列顺序向比选人推荐中选候选人。</w:t>
      </w:r>
    </w:p>
    <w:p>
      <w:pPr>
        <w:spacing w:line="360" w:lineRule="auto"/>
        <w:ind w:firstLine="570"/>
        <w:rPr>
          <w:rFonts w:ascii="仿宋_GB2312" w:hAnsi="仿宋" w:eastAsia="仿宋_GB2312"/>
          <w:sz w:val="32"/>
          <w:szCs w:val="32"/>
          <w:highlight w:val="none"/>
        </w:rPr>
      </w:pPr>
      <w:r>
        <w:rPr>
          <w:rFonts w:hint="eastAsia" w:ascii="仿宋_GB2312" w:hAnsi="仿宋" w:eastAsia="仿宋_GB2312"/>
          <w:sz w:val="32"/>
          <w:szCs w:val="32"/>
          <w:highlight w:val="none"/>
        </w:rPr>
        <w:t>8.比选实行综合评分法。评审组按照比选文件中附件七《比选评审办法》规定，分别评定各参选机构加分分值，加总各项分值之和即构成各参选机构的综合评分得分。</w:t>
      </w:r>
    </w:p>
    <w:p>
      <w:pPr>
        <w:spacing w:line="360" w:lineRule="auto"/>
        <w:ind w:firstLine="570"/>
        <w:rPr>
          <w:rFonts w:ascii="仿宋_GB2312" w:hAnsi="仿宋" w:eastAsia="仿宋_GB2312"/>
          <w:sz w:val="32"/>
          <w:szCs w:val="32"/>
          <w:highlight w:val="none"/>
        </w:rPr>
      </w:pPr>
      <w:r>
        <w:rPr>
          <w:rFonts w:hint="eastAsia" w:ascii="仿宋_GB2312" w:hAnsi="仿宋" w:eastAsia="仿宋_GB2312"/>
          <w:sz w:val="32"/>
          <w:szCs w:val="32"/>
          <w:highlight w:val="none"/>
        </w:rPr>
        <w:t xml:space="preserve">9.比选评审中，一个计分内容出现2个或2个以上计分，或评分高出单项分值明显不合理，或违反比选文件规定的评分，均为无效计分。 </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10.比选评审组成员采用记名评分的方式，在评分表中的任何改写处，均必须由该评分人员小签。</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11.比选评审组通过比选报告推荐标有排序的前3位为中选候选人，同时报告比选过程中的其他事项，比选报告应由比选评审组全体评委和监督人员签字。</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12.比选人确定得分排名第1位的为中选人，排名前面的中选人主动放弃中选或因不可抗力提出不能履行合同的，比选人可以确定排名在其后的为中选人，依次类推。</w:t>
      </w:r>
    </w:p>
    <w:p>
      <w:pPr>
        <w:spacing w:line="360" w:lineRule="auto"/>
        <w:ind w:firstLine="570"/>
        <w:rPr>
          <w:rFonts w:ascii="仿宋_GB2312" w:hAnsi="仿宋" w:eastAsia="仿宋_GB2312"/>
          <w:sz w:val="32"/>
          <w:szCs w:val="32"/>
          <w:highlight w:val="none"/>
        </w:rPr>
      </w:pPr>
      <w:r>
        <w:rPr>
          <w:rFonts w:hint="eastAsia" w:ascii="仿宋_GB2312" w:hAnsi="仿宋" w:eastAsia="仿宋_GB2312"/>
          <w:sz w:val="32"/>
          <w:szCs w:val="32"/>
          <w:highlight w:val="none"/>
        </w:rPr>
        <w:t>13.评比结束定标后，比选人应及时向中选人发出《中选通知书》。</w:t>
      </w:r>
    </w:p>
    <w:p>
      <w:pPr>
        <w:spacing w:line="360" w:lineRule="auto"/>
        <w:ind w:firstLine="570"/>
        <w:rPr>
          <w:rFonts w:ascii="仿宋_GB2312" w:hAnsi="仿宋" w:eastAsia="仿宋_GB2312"/>
          <w:sz w:val="32"/>
          <w:szCs w:val="32"/>
          <w:highlight w:val="none"/>
        </w:rPr>
      </w:pPr>
      <w:r>
        <w:rPr>
          <w:rFonts w:hint="eastAsia" w:ascii="仿宋_GB2312" w:hAnsi="仿宋" w:eastAsia="仿宋_GB2312"/>
          <w:sz w:val="32"/>
          <w:szCs w:val="32"/>
          <w:highlight w:val="none"/>
        </w:rPr>
        <w:t>14.经批准，</w:t>
      </w:r>
      <w:r>
        <w:rPr>
          <w:rFonts w:hint="eastAsia" w:ascii="仿宋_GB2312" w:hAnsi="仿宋_GB2312" w:eastAsia="仿宋_GB2312" w:cs="仿宋_GB2312"/>
          <w:sz w:val="32"/>
          <w:szCs w:val="32"/>
          <w:highlight w:val="none"/>
        </w:rPr>
        <w:t>蜀道物流集团筹建工作组</w:t>
      </w:r>
      <w:r>
        <w:rPr>
          <w:rFonts w:hint="eastAsia" w:ascii="仿宋_GB2312" w:hAnsi="仿宋" w:eastAsia="仿宋_GB2312"/>
          <w:sz w:val="32"/>
          <w:szCs w:val="32"/>
          <w:highlight w:val="none"/>
        </w:rPr>
        <w:t>应依据《中选通知书》，与中选人协商项目工作相关事宜。中选人因故放弃中选或提出不能履行合同的，</w:t>
      </w:r>
      <w:r>
        <w:rPr>
          <w:rFonts w:hint="eastAsia" w:ascii="仿宋_GB2312" w:hAnsi="仿宋_GB2312" w:eastAsia="仿宋_GB2312" w:cs="仿宋_GB2312"/>
          <w:sz w:val="32"/>
          <w:szCs w:val="32"/>
          <w:highlight w:val="none"/>
        </w:rPr>
        <w:t>蜀道物流集团筹建工作组</w:t>
      </w:r>
      <w:r>
        <w:rPr>
          <w:rFonts w:hint="eastAsia" w:ascii="仿宋_GB2312" w:hAnsi="仿宋" w:eastAsia="仿宋_GB2312"/>
          <w:sz w:val="32"/>
          <w:szCs w:val="32"/>
          <w:highlight w:val="none"/>
        </w:rPr>
        <w:t>应依据比选结果确定该比选项目排名第二的替补为中选候选人，并依次类推。</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15.</w:t>
      </w:r>
      <w:r>
        <w:rPr>
          <w:rFonts w:hint="eastAsia" w:ascii="仿宋_GB2312" w:hAnsi="仿宋_GB2312" w:eastAsia="仿宋_GB2312" w:cs="仿宋_GB2312"/>
          <w:sz w:val="32"/>
          <w:szCs w:val="32"/>
          <w:highlight w:val="none"/>
        </w:rPr>
        <w:t>蜀道物流集团筹建工作组</w:t>
      </w:r>
      <w:r>
        <w:rPr>
          <w:rFonts w:hint="eastAsia" w:ascii="仿宋_GB2312" w:hAnsi="仿宋" w:eastAsia="仿宋_GB2312"/>
          <w:sz w:val="32"/>
          <w:szCs w:val="32"/>
          <w:highlight w:val="none"/>
        </w:rPr>
        <w:t>根据比选结果和协商情况，最终确定委托人力资源咨询服务单位，与中选人共同签订服务合同。</w:t>
      </w:r>
    </w:p>
    <w:p>
      <w:pPr>
        <w:rPr>
          <w:rFonts w:ascii="仿宋_GB2312" w:hAnsi="仿宋" w:eastAsia="仿宋_GB2312"/>
          <w:sz w:val="32"/>
          <w:szCs w:val="32"/>
          <w:highlight w:val="none"/>
        </w:rPr>
      </w:pPr>
    </w:p>
    <w:p>
      <w:pPr>
        <w:widowControl/>
        <w:jc w:val="left"/>
        <w:rPr>
          <w:rFonts w:ascii="仿宋_GB2312" w:hAnsi="仿宋" w:eastAsia="仿宋_GB2312"/>
          <w:sz w:val="32"/>
          <w:szCs w:val="32"/>
          <w:highlight w:val="none"/>
        </w:rPr>
      </w:pPr>
      <w:r>
        <w:rPr>
          <w:rFonts w:ascii="仿宋_GB2312" w:hAnsi="仿宋" w:eastAsia="仿宋_GB2312"/>
          <w:sz w:val="32"/>
          <w:szCs w:val="32"/>
          <w:highlight w:val="none"/>
        </w:rPr>
        <w:br w:type="page"/>
      </w:r>
    </w:p>
    <w:p>
      <w:pPr>
        <w:pStyle w:val="3"/>
        <w:rPr>
          <w:rFonts w:ascii="黑体" w:eastAsia="黑体"/>
          <w:sz w:val="32"/>
          <w:szCs w:val="32"/>
          <w:highlight w:val="none"/>
        </w:rPr>
      </w:pPr>
      <w:r>
        <w:rPr>
          <w:rFonts w:hint="eastAsia" w:ascii="黑体" w:eastAsia="黑体"/>
          <w:sz w:val="32"/>
          <w:szCs w:val="32"/>
          <w:highlight w:val="none"/>
        </w:rPr>
        <w:t>附件一：比选申请书格式</w:t>
      </w:r>
    </w:p>
    <w:p>
      <w:pPr>
        <w:spacing w:line="360" w:lineRule="auto"/>
        <w:jc w:val="center"/>
        <w:rPr>
          <w:rFonts w:ascii="方正小标宋_GBK" w:hAnsi="仿宋" w:eastAsia="方正小标宋_GBK"/>
          <w:b/>
          <w:bCs/>
          <w:sz w:val="44"/>
          <w:szCs w:val="44"/>
          <w:highlight w:val="none"/>
        </w:rPr>
      </w:pPr>
      <w:r>
        <w:rPr>
          <w:rFonts w:hint="eastAsia" w:ascii="方正小标宋_GBK" w:hAnsi="仿宋" w:eastAsia="方正小标宋_GBK"/>
          <w:b/>
          <w:bCs/>
          <w:sz w:val="44"/>
          <w:szCs w:val="44"/>
          <w:highlight w:val="none"/>
        </w:rPr>
        <w:t>比选申请书</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致：</w:t>
      </w:r>
      <w:r>
        <w:rPr>
          <w:rFonts w:hint="eastAsia" w:ascii="仿宋_GB2312" w:hAnsi="仿宋_GB2312" w:eastAsia="仿宋_GB2312" w:cs="仿宋_GB2312"/>
          <w:sz w:val="32"/>
          <w:szCs w:val="32"/>
          <w:highlight w:val="none"/>
        </w:rPr>
        <w:t>蜀道物流集团筹建工作组</w:t>
      </w:r>
      <w:r>
        <w:rPr>
          <w:rFonts w:hint="eastAsia" w:ascii="仿宋_GB2312" w:hAnsi="仿宋" w:eastAsia="仿宋_GB2312"/>
          <w:sz w:val="32"/>
          <w:szCs w:val="32"/>
          <w:highlight w:val="none"/>
        </w:rPr>
        <w:t>：</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    我方确认收到贵方提供的人力资源咨询服务项目比选文件的全部内容。</w:t>
      </w:r>
    </w:p>
    <w:p>
      <w:pPr>
        <w:spacing w:line="360" w:lineRule="auto"/>
        <w:ind w:firstLine="480"/>
        <w:rPr>
          <w:rFonts w:ascii="仿宋_GB2312" w:hAnsi="仿宋"/>
          <w:szCs w:val="32"/>
          <w:highlight w:val="none"/>
        </w:rPr>
      </w:pPr>
      <w:r>
        <w:rPr>
          <w:rFonts w:hint="eastAsia" w:ascii="仿宋_GB2312" w:hAnsi="仿宋" w:eastAsia="仿宋_GB2312"/>
          <w:sz w:val="32"/>
          <w:szCs w:val="32"/>
          <w:highlight w:val="none"/>
        </w:rPr>
        <w:t>我方：</w:t>
      </w:r>
      <w:r>
        <w:rPr>
          <w:rFonts w:hint="eastAsia" w:ascii="仿宋_GB2312" w:hAnsi="仿宋" w:eastAsia="仿宋_GB2312"/>
          <w:sz w:val="32"/>
          <w:szCs w:val="32"/>
          <w:highlight w:val="none"/>
          <w:u w:val="single"/>
        </w:rPr>
        <w:t xml:space="preserve">  (参选机构全称)  </w:t>
      </w:r>
      <w:r>
        <w:rPr>
          <w:rFonts w:hint="eastAsia" w:ascii="仿宋_GB2312" w:hAnsi="仿宋" w:eastAsia="仿宋_GB2312"/>
          <w:sz w:val="32"/>
          <w:szCs w:val="32"/>
          <w:highlight w:val="none"/>
        </w:rPr>
        <w:t>作为参选机构正式授权</w:t>
      </w:r>
      <w:r>
        <w:rPr>
          <w:rFonts w:hint="eastAsia" w:ascii="仿宋_GB2312" w:hAnsi="仿宋" w:eastAsia="仿宋_GB2312"/>
          <w:sz w:val="32"/>
          <w:szCs w:val="32"/>
          <w:highlight w:val="none"/>
          <w:u w:val="single"/>
        </w:rPr>
        <w:t>(授权代表姓名         ，职务         )</w:t>
      </w:r>
      <w:r>
        <w:rPr>
          <w:rFonts w:hint="eastAsia" w:ascii="仿宋_GB2312" w:hAnsi="仿宋" w:eastAsia="仿宋_GB2312"/>
          <w:sz w:val="32"/>
          <w:szCs w:val="32"/>
          <w:highlight w:val="none"/>
        </w:rPr>
        <w:t>代表我方进行有关本次比选的一切事宜。在此提交的比选申请文件，正本一份，副本五份。包括如下内容：</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（一）比选申请书；</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（二）法定代表人本人身份证复印件。如果有委托代理人的，应同时附法定代表人授权书、法定代表人身份复印件、委托代理人身份证复印件；</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（三）工作方案、保证措施及</w:t>
      </w:r>
      <w:r>
        <w:rPr>
          <w:rFonts w:ascii="仿宋_GB2312" w:hAnsi="仿宋" w:eastAsia="仿宋_GB2312"/>
          <w:sz w:val="32"/>
          <w:szCs w:val="32"/>
          <w:highlight w:val="none"/>
        </w:rPr>
        <w:t>时间进度表</w:t>
      </w:r>
      <w:r>
        <w:rPr>
          <w:rFonts w:hint="eastAsia" w:ascii="仿宋_GB2312" w:hAnsi="仿宋" w:eastAsia="仿宋_GB2312"/>
          <w:sz w:val="32"/>
          <w:szCs w:val="32"/>
          <w:highlight w:val="none"/>
        </w:rPr>
        <w:t>；</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（四）项目小组构成、项目负责人、现场负责人及成员简介及其相关资格证书的复印件；</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（五）比选报价表，即对人力资源咨询服务项目的包干总价服务费；</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（六）营业执照副本、相关咨询资质影印件；</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（七）承诺书与保密协议书；</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（八）近年，完成人力资源咨询服务项目清单，并提供相应的证明材料。</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我方己完全明白比选文件的所有条款要求，并重申以下几点：</w:t>
      </w:r>
    </w:p>
    <w:p>
      <w:pPr>
        <w:spacing w:line="360" w:lineRule="auto"/>
        <w:ind w:firstLine="480"/>
        <w:rPr>
          <w:rFonts w:ascii="仿宋_GB2312" w:hAnsi="仿宋" w:eastAsia="仿宋_GB2312"/>
          <w:sz w:val="32"/>
          <w:szCs w:val="32"/>
          <w:highlight w:val="none"/>
        </w:rPr>
      </w:pPr>
      <w:r>
        <w:rPr>
          <w:rFonts w:hint="eastAsia" w:ascii="仿宋_GB2312" w:hAnsi="仿宋" w:eastAsia="仿宋_GB2312"/>
          <w:sz w:val="32"/>
          <w:szCs w:val="32"/>
          <w:highlight w:val="none"/>
        </w:rPr>
        <w:t>(一)我方决定参加此次比选的人力资源咨询服务项目工作。</w:t>
      </w:r>
    </w:p>
    <w:p>
      <w:pPr>
        <w:spacing w:line="360" w:lineRule="auto"/>
        <w:ind w:firstLine="480"/>
        <w:rPr>
          <w:rFonts w:ascii="仿宋_GB2312" w:hAnsi="仿宋" w:eastAsia="仿宋_GB2312"/>
          <w:sz w:val="32"/>
          <w:szCs w:val="32"/>
          <w:highlight w:val="none"/>
        </w:rPr>
      </w:pPr>
      <w:r>
        <w:rPr>
          <w:rFonts w:hint="eastAsia" w:ascii="仿宋_GB2312" w:hAnsi="仿宋" w:eastAsia="仿宋_GB2312"/>
          <w:sz w:val="32"/>
          <w:szCs w:val="32"/>
          <w:highlight w:val="none"/>
        </w:rPr>
        <w:t>(二)已经实施全部有关服务的比选报价及详细预算。</w:t>
      </w:r>
    </w:p>
    <w:p>
      <w:pPr>
        <w:spacing w:line="360" w:lineRule="auto"/>
        <w:ind w:firstLine="480"/>
        <w:rPr>
          <w:rFonts w:ascii="仿宋_GB2312" w:hAnsi="仿宋" w:eastAsia="仿宋_GB2312"/>
          <w:sz w:val="32"/>
          <w:szCs w:val="32"/>
          <w:highlight w:val="none"/>
        </w:rPr>
      </w:pPr>
      <w:r>
        <w:rPr>
          <w:rFonts w:hint="eastAsia" w:ascii="仿宋_GB2312" w:hAnsi="仿宋" w:eastAsia="仿宋_GB2312"/>
          <w:sz w:val="32"/>
          <w:szCs w:val="32"/>
          <w:highlight w:val="none"/>
        </w:rPr>
        <w:t>(三)本比选申请文件的有效期至比选截止日后30天有效，如中选，有效期将延至合同终止日止。</w:t>
      </w:r>
    </w:p>
    <w:p>
      <w:pPr>
        <w:spacing w:line="360" w:lineRule="auto"/>
        <w:ind w:firstLine="480"/>
        <w:rPr>
          <w:rFonts w:ascii="仿宋_GB2312" w:hAnsi="仿宋" w:eastAsia="仿宋_GB2312"/>
          <w:sz w:val="32"/>
          <w:szCs w:val="32"/>
          <w:highlight w:val="none"/>
        </w:rPr>
      </w:pPr>
      <w:r>
        <w:rPr>
          <w:rFonts w:hint="eastAsia" w:ascii="仿宋_GB2312" w:hAnsi="仿宋" w:eastAsia="仿宋_GB2312"/>
          <w:sz w:val="32"/>
          <w:szCs w:val="32"/>
          <w:highlight w:val="none"/>
        </w:rPr>
        <w:t>(四)我方已详细研究了比选文件的所有内容包括修正文件(如果有的话)和所有已提供的参考资料以及有关附件并完全明白。我方放弃在此方面提出含糊意见或误解的一切权力。</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(五)我方同意按照贵方可能提出的要求而提供与比选有关的任何其它数据或信息。</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(六)我方如果中选，将保证履行比选文件以及比选文件修改书(如果有的话)中全部责任和义务，按质、按量、按期完成《合同书》中的全部任务。</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(七)所有与本次比选有关的函件请发往下列地址：</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地    址：  </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邮政编码：          电话：         传真：           </w:t>
      </w:r>
    </w:p>
    <w:p>
      <w:pPr>
        <w:spacing w:line="360" w:lineRule="auto"/>
        <w:ind w:left="-315" w:leftChars="-150"/>
        <w:rPr>
          <w:rFonts w:ascii="仿宋_GB2312" w:hAnsi="仿宋" w:eastAsia="仿宋_GB2312"/>
          <w:sz w:val="32"/>
          <w:szCs w:val="32"/>
          <w:highlight w:val="none"/>
        </w:rPr>
      </w:pPr>
      <w:r>
        <w:rPr>
          <w:rFonts w:hint="eastAsia" w:ascii="仿宋_GB2312" w:hAnsi="仿宋" w:eastAsia="仿宋_GB2312"/>
          <w:sz w:val="32"/>
          <w:szCs w:val="32"/>
          <w:highlight w:val="none"/>
        </w:rPr>
        <w:t xml:space="preserve">  代表姓名：             </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职    务：</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参选机构（法人公章）</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参选机构地址：</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授权代表姓名（签名或盖章）</w:t>
      </w:r>
    </w:p>
    <w:p>
      <w:pPr>
        <w:spacing w:line="360" w:lineRule="auto"/>
        <w:ind w:right="1200" w:firstLine="6080" w:firstLineChars="1900"/>
        <w:rPr>
          <w:rFonts w:ascii="仿宋_GB2312" w:hAnsi="仿宋" w:eastAsia="仿宋_GB2312"/>
          <w:sz w:val="32"/>
          <w:szCs w:val="32"/>
          <w:highlight w:val="none"/>
        </w:rPr>
      </w:pPr>
      <w:r>
        <w:rPr>
          <w:rFonts w:hint="eastAsia" w:ascii="仿宋_GB2312" w:hAnsi="仿宋" w:eastAsia="仿宋_GB2312"/>
          <w:sz w:val="32"/>
          <w:szCs w:val="32"/>
          <w:highlight w:val="none"/>
        </w:rPr>
        <w:t>日  期：</w:t>
      </w:r>
    </w:p>
    <w:p>
      <w:pPr>
        <w:widowControl/>
        <w:jc w:val="left"/>
        <w:rPr>
          <w:rFonts w:ascii="仿宋_GB2312" w:hAnsi="仿宋" w:eastAsia="仿宋_GB2312"/>
          <w:sz w:val="32"/>
          <w:szCs w:val="32"/>
          <w:highlight w:val="none"/>
        </w:rPr>
      </w:pPr>
      <w:r>
        <w:rPr>
          <w:rFonts w:ascii="仿宋_GB2312" w:hAnsi="仿宋" w:eastAsia="仿宋_GB2312"/>
          <w:sz w:val="32"/>
          <w:szCs w:val="32"/>
          <w:highlight w:val="none"/>
        </w:rPr>
        <w:br w:type="page"/>
      </w:r>
    </w:p>
    <w:p>
      <w:pPr>
        <w:pStyle w:val="3"/>
        <w:rPr>
          <w:rFonts w:ascii="黑体" w:eastAsia="黑体"/>
          <w:sz w:val="32"/>
          <w:szCs w:val="32"/>
          <w:highlight w:val="none"/>
        </w:rPr>
      </w:pPr>
      <w:r>
        <w:rPr>
          <w:rFonts w:hint="eastAsia" w:ascii="黑体" w:eastAsia="黑体"/>
          <w:sz w:val="32"/>
          <w:szCs w:val="32"/>
          <w:highlight w:val="none"/>
        </w:rPr>
        <w:t>附件二：法定代表人授权书格式</w:t>
      </w:r>
    </w:p>
    <w:p>
      <w:pPr>
        <w:spacing w:line="360" w:lineRule="auto"/>
        <w:jc w:val="center"/>
        <w:rPr>
          <w:rFonts w:ascii="方正小标宋_GBK" w:hAnsi="仿宋" w:eastAsia="方正小标宋_GBK"/>
          <w:b/>
          <w:bCs/>
          <w:sz w:val="44"/>
          <w:szCs w:val="44"/>
          <w:highlight w:val="none"/>
        </w:rPr>
      </w:pPr>
      <w:r>
        <w:rPr>
          <w:rFonts w:hint="eastAsia" w:ascii="方正小标宋_GBK" w:hAnsi="仿宋" w:eastAsia="方正小标宋_GBK"/>
          <w:b/>
          <w:bCs/>
          <w:sz w:val="44"/>
          <w:szCs w:val="44"/>
          <w:highlight w:val="none"/>
        </w:rPr>
        <w:t>法定代表人授权书</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致：</w:t>
      </w:r>
      <w:r>
        <w:rPr>
          <w:rFonts w:hint="eastAsia" w:ascii="仿宋_GB2312" w:hAnsi="仿宋_GB2312" w:eastAsia="仿宋_GB2312" w:cs="仿宋_GB2312"/>
          <w:sz w:val="32"/>
          <w:szCs w:val="32"/>
          <w:highlight w:val="none"/>
        </w:rPr>
        <w:t>蜀道物流集团筹建工作组</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本授权书声明：注册于</w:t>
      </w:r>
      <w:r>
        <w:rPr>
          <w:rFonts w:hint="eastAsia" w:ascii="仿宋_GB2312" w:hAnsi="仿宋" w:eastAsia="仿宋_GB2312"/>
          <w:sz w:val="32"/>
          <w:szCs w:val="32"/>
          <w:highlight w:val="none"/>
          <w:u w:val="single"/>
        </w:rPr>
        <w:t xml:space="preserve">        (国家或地区)</w:t>
      </w:r>
      <w:r>
        <w:rPr>
          <w:rFonts w:hint="eastAsia" w:ascii="仿宋_GB2312" w:hAnsi="仿宋" w:eastAsia="仿宋_GB2312"/>
          <w:sz w:val="32"/>
          <w:szCs w:val="32"/>
          <w:highlight w:val="none"/>
        </w:rPr>
        <w:t xml:space="preserve">         </w:t>
      </w:r>
      <w:r>
        <w:rPr>
          <w:rFonts w:hint="eastAsia" w:ascii="仿宋_GB2312" w:hAnsi="仿宋" w:eastAsia="仿宋_GB2312"/>
          <w:sz w:val="32"/>
          <w:szCs w:val="32"/>
          <w:highlight w:val="none"/>
          <w:u w:val="single"/>
        </w:rPr>
        <w:t>(参选机构全称)</w:t>
      </w:r>
      <w:r>
        <w:rPr>
          <w:rFonts w:hint="eastAsia" w:ascii="仿宋_GB2312" w:hAnsi="仿宋" w:eastAsia="仿宋_GB2312"/>
          <w:sz w:val="32"/>
          <w:szCs w:val="32"/>
          <w:highlight w:val="none"/>
        </w:rPr>
        <w:t>在下面签字的</w:t>
      </w:r>
      <w:r>
        <w:rPr>
          <w:rFonts w:hint="eastAsia" w:ascii="仿宋_GB2312" w:hAnsi="仿宋" w:eastAsia="仿宋_GB2312"/>
          <w:sz w:val="32"/>
          <w:szCs w:val="32"/>
          <w:highlight w:val="none"/>
          <w:u w:val="single"/>
        </w:rPr>
        <w:t xml:space="preserve">      (法定代表人姓名、职务)</w:t>
      </w:r>
      <w:r>
        <w:rPr>
          <w:rFonts w:hint="eastAsia" w:ascii="仿宋_GB2312" w:hAnsi="仿宋" w:eastAsia="仿宋_GB2312"/>
          <w:sz w:val="32"/>
          <w:szCs w:val="32"/>
          <w:highlight w:val="none"/>
        </w:rPr>
        <w:t>代表本公司授权在下面签字的</w:t>
      </w:r>
      <w:r>
        <w:rPr>
          <w:rFonts w:hint="eastAsia" w:ascii="仿宋_GB2312" w:hAnsi="仿宋" w:eastAsia="仿宋_GB2312"/>
          <w:sz w:val="32"/>
          <w:szCs w:val="32"/>
          <w:highlight w:val="none"/>
          <w:u w:val="single"/>
        </w:rPr>
        <w:t>(被授权人的姓名、职务)</w:t>
      </w:r>
      <w:r>
        <w:rPr>
          <w:rFonts w:hint="eastAsia" w:ascii="仿宋_GB2312" w:hAnsi="仿宋" w:eastAsia="仿宋_GB2312"/>
          <w:sz w:val="32"/>
          <w:szCs w:val="32"/>
          <w:highlight w:val="none"/>
        </w:rPr>
        <w:t>为本公司的合法代表人，就人力资源咨询服务项目比选申请文件和中选后的合同执行，以我方的名义处理一切与之有关的事宜。</w:t>
      </w:r>
    </w:p>
    <w:p>
      <w:pPr>
        <w:spacing w:line="600" w:lineRule="exact"/>
        <w:rPr>
          <w:rFonts w:ascii="仿宋_GB2312" w:hAnsi="仿宋" w:eastAsia="仿宋_GB2312"/>
          <w:sz w:val="32"/>
          <w:szCs w:val="32"/>
          <w:highlight w:val="none"/>
        </w:rPr>
      </w:pPr>
      <w:r>
        <w:rPr>
          <w:rFonts w:hint="eastAsia" w:ascii="仿宋_GB2312" w:hAnsi="仿宋" w:eastAsia="仿宋_GB2312"/>
          <w:sz w:val="32"/>
          <w:szCs w:val="32"/>
          <w:highlight w:val="none"/>
        </w:rPr>
        <w:t xml:space="preserve">    本授权书于    年    月    日签字生效，特此声明。</w:t>
      </w:r>
    </w:p>
    <w:p>
      <w:pPr>
        <w:spacing w:line="600" w:lineRule="exact"/>
        <w:rPr>
          <w:rFonts w:ascii="仿宋_GB2312" w:hAnsi="仿宋" w:eastAsia="仿宋_GB2312"/>
          <w:sz w:val="32"/>
          <w:szCs w:val="32"/>
          <w:highlight w:val="none"/>
        </w:rPr>
      </w:pPr>
      <w:r>
        <w:rPr>
          <w:rFonts w:hint="eastAsia" w:ascii="仿宋_GB2312" w:hAnsi="仿宋" w:eastAsia="仿宋_GB2312"/>
          <w:sz w:val="32"/>
          <w:szCs w:val="32"/>
          <w:highlight w:val="none"/>
        </w:rPr>
        <w:t xml:space="preserve">                            参选机构（法人公章）</w:t>
      </w:r>
    </w:p>
    <w:p>
      <w:pPr>
        <w:spacing w:line="600" w:lineRule="exact"/>
        <w:rPr>
          <w:rFonts w:ascii="仿宋_GB2312" w:hAnsi="仿宋" w:eastAsia="仿宋_GB2312"/>
          <w:sz w:val="32"/>
          <w:szCs w:val="32"/>
          <w:highlight w:val="none"/>
        </w:rPr>
      </w:pPr>
      <w:r>
        <w:rPr>
          <w:rFonts w:hint="eastAsia" w:ascii="仿宋_GB2312" w:hAnsi="仿宋" w:eastAsia="仿宋_GB2312"/>
          <w:sz w:val="32"/>
          <w:szCs w:val="32"/>
          <w:highlight w:val="none"/>
        </w:rPr>
        <w:t xml:space="preserve">                            地    址：</w:t>
      </w:r>
    </w:p>
    <w:p>
      <w:pPr>
        <w:spacing w:line="600" w:lineRule="exact"/>
        <w:rPr>
          <w:rFonts w:ascii="仿宋_GB2312" w:hAnsi="仿宋" w:eastAsia="仿宋_GB2312"/>
          <w:sz w:val="32"/>
          <w:szCs w:val="32"/>
          <w:highlight w:val="none"/>
        </w:rPr>
      </w:pPr>
      <w:r>
        <w:rPr>
          <w:rFonts w:hint="eastAsia" w:ascii="仿宋_GB2312" w:hAnsi="仿宋" w:eastAsia="仿宋_GB2312"/>
          <w:sz w:val="32"/>
          <w:szCs w:val="32"/>
          <w:highlight w:val="none"/>
        </w:rPr>
        <w:t xml:space="preserve">                            法定代表人(签字或盖章)：</w:t>
      </w:r>
    </w:p>
    <w:p>
      <w:pPr>
        <w:spacing w:line="600" w:lineRule="exact"/>
        <w:rPr>
          <w:rFonts w:ascii="仿宋_GB2312" w:hAnsi="仿宋" w:eastAsia="仿宋_GB2312"/>
          <w:sz w:val="32"/>
          <w:szCs w:val="32"/>
          <w:highlight w:val="none"/>
        </w:rPr>
      </w:pPr>
      <w:r>
        <w:rPr>
          <w:rFonts w:hint="eastAsia" w:ascii="仿宋_GB2312" w:hAnsi="仿宋" w:eastAsia="仿宋_GB2312"/>
          <w:sz w:val="32"/>
          <w:szCs w:val="32"/>
          <w:highlight w:val="none"/>
        </w:rPr>
        <w:t xml:space="preserve">                            职    务：</w:t>
      </w:r>
    </w:p>
    <w:p>
      <w:pPr>
        <w:spacing w:line="600" w:lineRule="exact"/>
        <w:rPr>
          <w:rFonts w:ascii="仿宋_GB2312" w:hAnsi="仿宋" w:eastAsia="仿宋_GB2312"/>
          <w:sz w:val="32"/>
          <w:szCs w:val="32"/>
          <w:highlight w:val="none"/>
        </w:rPr>
      </w:pPr>
      <w:r>
        <w:rPr>
          <w:rFonts w:hint="eastAsia" w:ascii="仿宋_GB2312" w:hAnsi="仿宋" w:eastAsia="仿宋_GB2312"/>
          <w:sz w:val="32"/>
          <w:szCs w:val="32"/>
          <w:highlight w:val="none"/>
        </w:rPr>
        <w:t xml:space="preserve">                            被授权人(签字或盖章)：</w:t>
      </w:r>
    </w:p>
    <w:p>
      <w:pPr>
        <w:spacing w:line="600" w:lineRule="exact"/>
        <w:rPr>
          <w:rFonts w:ascii="仿宋_GB2312" w:hAnsi="仿宋" w:eastAsia="仿宋_GB2312"/>
          <w:sz w:val="32"/>
          <w:szCs w:val="32"/>
          <w:highlight w:val="none"/>
        </w:rPr>
      </w:pPr>
      <w:r>
        <w:rPr>
          <w:rFonts w:hint="eastAsia" w:ascii="仿宋_GB2312" w:hAnsi="仿宋" w:eastAsia="仿宋_GB2312"/>
          <w:sz w:val="32"/>
          <w:szCs w:val="32"/>
          <w:highlight w:val="none"/>
        </w:rPr>
        <w:t xml:space="preserve">                            职    务：</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                            日    期：</w:t>
      </w:r>
    </w:p>
    <w:p>
      <w:pPr>
        <w:spacing w:line="360" w:lineRule="auto"/>
        <w:rPr>
          <w:rFonts w:ascii="仿宋_GB2312" w:hAnsi="仿宋" w:eastAsia="仿宋_GB2312"/>
          <w:sz w:val="32"/>
          <w:szCs w:val="32"/>
          <w:highlight w:val="none"/>
        </w:rPr>
      </w:pPr>
    </w:p>
    <w:p>
      <w:pPr>
        <w:widowControl/>
        <w:jc w:val="left"/>
        <w:rPr>
          <w:rFonts w:ascii="黑体" w:eastAsia="黑体"/>
          <w:b/>
          <w:bCs/>
          <w:kern w:val="44"/>
          <w:sz w:val="32"/>
          <w:szCs w:val="32"/>
          <w:highlight w:val="none"/>
        </w:rPr>
      </w:pPr>
      <w:r>
        <w:rPr>
          <w:rFonts w:ascii="黑体" w:eastAsia="黑体"/>
          <w:sz w:val="32"/>
          <w:szCs w:val="32"/>
          <w:highlight w:val="none"/>
        </w:rPr>
        <w:br w:type="page"/>
      </w:r>
    </w:p>
    <w:p>
      <w:pPr>
        <w:pStyle w:val="3"/>
        <w:rPr>
          <w:rFonts w:ascii="黑体" w:eastAsia="黑体"/>
          <w:sz w:val="32"/>
          <w:szCs w:val="32"/>
          <w:highlight w:val="none"/>
        </w:rPr>
      </w:pPr>
      <w:bookmarkStart w:id="11" w:name="_Toc1301427"/>
      <w:r>
        <w:rPr>
          <w:rFonts w:hint="eastAsia" w:ascii="黑体" w:eastAsia="黑体"/>
          <w:sz w:val="32"/>
          <w:szCs w:val="32"/>
          <w:highlight w:val="none"/>
        </w:rPr>
        <w:t>附件三：项目小组构成及成员</w:t>
      </w:r>
      <w:r>
        <w:rPr>
          <w:rFonts w:ascii="黑体" w:eastAsia="黑体"/>
          <w:sz w:val="32"/>
          <w:szCs w:val="32"/>
          <w:highlight w:val="none"/>
        </w:rPr>
        <w:t>基本情况</w:t>
      </w:r>
      <w:bookmarkEnd w:id="11"/>
    </w:p>
    <w:p>
      <w:pPr>
        <w:spacing w:line="360" w:lineRule="auto"/>
        <w:rPr>
          <w:rFonts w:ascii="黑体" w:hAnsi="黑体" w:eastAsia="黑体"/>
          <w:sz w:val="32"/>
          <w:szCs w:val="32"/>
          <w:highlight w:val="none"/>
        </w:rPr>
      </w:pPr>
      <w:r>
        <w:rPr>
          <w:rFonts w:hint="eastAsia" w:ascii="黑体" w:hAnsi="黑体" w:eastAsia="黑体"/>
          <w:sz w:val="32"/>
          <w:szCs w:val="32"/>
          <w:highlight w:val="none"/>
        </w:rPr>
        <w:t>一、项目负责人及项目主要参与人员基本情况</w:t>
      </w:r>
    </w:p>
    <w:tbl>
      <w:tblPr>
        <w:tblStyle w:val="12"/>
        <w:tblW w:w="829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910"/>
        <w:gridCol w:w="2519"/>
        <w:gridCol w:w="1804"/>
        <w:gridCol w:w="1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姓名</w:t>
            </w:r>
          </w:p>
        </w:tc>
        <w:tc>
          <w:tcPr>
            <w:tcW w:w="910" w:type="dxa"/>
            <w:vAlign w:val="center"/>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年龄</w:t>
            </w:r>
          </w:p>
        </w:tc>
        <w:tc>
          <w:tcPr>
            <w:tcW w:w="2519" w:type="dxa"/>
            <w:vAlign w:val="center"/>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类似工作</w:t>
            </w:r>
          </w:p>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经验年限</w:t>
            </w:r>
          </w:p>
        </w:tc>
        <w:tc>
          <w:tcPr>
            <w:tcW w:w="1804" w:type="dxa"/>
            <w:vAlign w:val="center"/>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拟任职务</w:t>
            </w:r>
          </w:p>
        </w:tc>
        <w:tc>
          <w:tcPr>
            <w:tcW w:w="1942" w:type="dxa"/>
            <w:vAlign w:val="center"/>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项目</w:t>
            </w:r>
            <w:r>
              <w:rPr>
                <w:rFonts w:ascii="仿宋_GB2312" w:eastAsia="仿宋_GB2312"/>
                <w:kern w:val="0"/>
                <w:sz w:val="24"/>
                <w:highlight w:val="none"/>
              </w:rPr>
              <w:t>经验业绩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pPr>
              <w:snapToGrid w:val="0"/>
              <w:ind w:left="-57" w:right="-57"/>
              <w:jc w:val="center"/>
              <w:rPr>
                <w:rFonts w:ascii="仿宋_GB2312" w:eastAsia="仿宋_GB2312"/>
                <w:kern w:val="0"/>
                <w:sz w:val="24"/>
                <w:highlight w:val="none"/>
              </w:rPr>
            </w:pPr>
          </w:p>
          <w:p>
            <w:pPr>
              <w:snapToGrid w:val="0"/>
              <w:ind w:left="-57" w:right="-57"/>
              <w:jc w:val="center"/>
              <w:rPr>
                <w:rFonts w:ascii="仿宋_GB2312" w:eastAsia="仿宋_GB2312"/>
                <w:kern w:val="0"/>
                <w:sz w:val="24"/>
                <w:highlight w:val="none"/>
              </w:rPr>
            </w:pPr>
          </w:p>
        </w:tc>
        <w:tc>
          <w:tcPr>
            <w:tcW w:w="910" w:type="dxa"/>
            <w:vAlign w:val="center"/>
          </w:tcPr>
          <w:p>
            <w:pPr>
              <w:snapToGrid w:val="0"/>
              <w:ind w:left="-57" w:right="-57"/>
              <w:jc w:val="center"/>
              <w:rPr>
                <w:rFonts w:ascii="仿宋_GB2312" w:eastAsia="仿宋_GB2312"/>
                <w:kern w:val="0"/>
                <w:sz w:val="24"/>
                <w:highlight w:val="none"/>
              </w:rPr>
            </w:pPr>
          </w:p>
        </w:tc>
        <w:tc>
          <w:tcPr>
            <w:tcW w:w="2519" w:type="dxa"/>
            <w:vAlign w:val="center"/>
          </w:tcPr>
          <w:p>
            <w:pPr>
              <w:snapToGrid w:val="0"/>
              <w:ind w:left="-57" w:right="-57"/>
              <w:jc w:val="center"/>
              <w:rPr>
                <w:rFonts w:ascii="仿宋_GB2312" w:eastAsia="仿宋_GB2312"/>
                <w:kern w:val="0"/>
                <w:sz w:val="24"/>
                <w:highlight w:val="none"/>
              </w:rPr>
            </w:pPr>
          </w:p>
        </w:tc>
        <w:tc>
          <w:tcPr>
            <w:tcW w:w="1804" w:type="dxa"/>
            <w:vAlign w:val="center"/>
          </w:tcPr>
          <w:p>
            <w:pPr>
              <w:snapToGrid w:val="0"/>
              <w:ind w:left="-57" w:right="-57"/>
              <w:jc w:val="center"/>
              <w:rPr>
                <w:rFonts w:ascii="仿宋_GB2312" w:eastAsia="仿宋_GB2312"/>
                <w:kern w:val="0"/>
                <w:sz w:val="24"/>
                <w:highlight w:val="none"/>
              </w:rPr>
            </w:pPr>
          </w:p>
        </w:tc>
        <w:tc>
          <w:tcPr>
            <w:tcW w:w="1942" w:type="dxa"/>
          </w:tcPr>
          <w:p>
            <w:pPr>
              <w:snapToGrid w:val="0"/>
              <w:ind w:left="-57" w:right="-57"/>
              <w:jc w:val="center"/>
              <w:rPr>
                <w:rFonts w:ascii="仿宋_GB2312" w:eastAsia="仿宋_GB2312"/>
                <w:kern w:val="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pPr>
              <w:snapToGrid w:val="0"/>
              <w:ind w:left="-57" w:right="-57"/>
              <w:jc w:val="center"/>
              <w:rPr>
                <w:rFonts w:ascii="仿宋_GB2312" w:eastAsia="仿宋_GB2312"/>
                <w:kern w:val="0"/>
                <w:sz w:val="24"/>
                <w:highlight w:val="none"/>
              </w:rPr>
            </w:pPr>
          </w:p>
          <w:p>
            <w:pPr>
              <w:snapToGrid w:val="0"/>
              <w:ind w:left="-57" w:right="-57"/>
              <w:jc w:val="center"/>
              <w:rPr>
                <w:rFonts w:ascii="仿宋_GB2312" w:eastAsia="仿宋_GB2312"/>
                <w:kern w:val="0"/>
                <w:sz w:val="24"/>
                <w:highlight w:val="none"/>
              </w:rPr>
            </w:pPr>
          </w:p>
        </w:tc>
        <w:tc>
          <w:tcPr>
            <w:tcW w:w="910" w:type="dxa"/>
            <w:vAlign w:val="center"/>
          </w:tcPr>
          <w:p>
            <w:pPr>
              <w:snapToGrid w:val="0"/>
              <w:ind w:left="-57" w:right="-57"/>
              <w:jc w:val="center"/>
              <w:rPr>
                <w:rFonts w:ascii="仿宋_GB2312" w:eastAsia="仿宋_GB2312"/>
                <w:kern w:val="0"/>
                <w:sz w:val="24"/>
                <w:highlight w:val="none"/>
              </w:rPr>
            </w:pPr>
          </w:p>
        </w:tc>
        <w:tc>
          <w:tcPr>
            <w:tcW w:w="2519" w:type="dxa"/>
            <w:vAlign w:val="center"/>
          </w:tcPr>
          <w:p>
            <w:pPr>
              <w:snapToGrid w:val="0"/>
              <w:ind w:left="-57" w:right="-57"/>
              <w:jc w:val="center"/>
              <w:rPr>
                <w:rFonts w:ascii="仿宋_GB2312" w:eastAsia="仿宋_GB2312"/>
                <w:kern w:val="0"/>
                <w:sz w:val="24"/>
                <w:highlight w:val="none"/>
              </w:rPr>
            </w:pPr>
          </w:p>
        </w:tc>
        <w:tc>
          <w:tcPr>
            <w:tcW w:w="1804" w:type="dxa"/>
            <w:vAlign w:val="center"/>
          </w:tcPr>
          <w:p>
            <w:pPr>
              <w:snapToGrid w:val="0"/>
              <w:ind w:left="-57" w:right="-57"/>
              <w:jc w:val="center"/>
              <w:rPr>
                <w:rFonts w:ascii="仿宋_GB2312" w:eastAsia="仿宋_GB2312"/>
                <w:kern w:val="0"/>
                <w:sz w:val="24"/>
                <w:highlight w:val="none"/>
              </w:rPr>
            </w:pPr>
          </w:p>
        </w:tc>
        <w:tc>
          <w:tcPr>
            <w:tcW w:w="1942" w:type="dxa"/>
          </w:tcPr>
          <w:p>
            <w:pPr>
              <w:snapToGrid w:val="0"/>
              <w:ind w:left="-57" w:right="-57"/>
              <w:jc w:val="center"/>
              <w:rPr>
                <w:rFonts w:ascii="仿宋_GB2312" w:eastAsia="仿宋_GB2312"/>
                <w:kern w:val="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pPr>
              <w:snapToGrid w:val="0"/>
              <w:ind w:left="-57" w:right="-57"/>
              <w:jc w:val="center"/>
              <w:rPr>
                <w:rFonts w:ascii="仿宋_GB2312" w:eastAsia="仿宋_GB2312"/>
                <w:kern w:val="0"/>
                <w:sz w:val="24"/>
                <w:highlight w:val="none"/>
              </w:rPr>
            </w:pPr>
          </w:p>
          <w:p>
            <w:pPr>
              <w:snapToGrid w:val="0"/>
              <w:ind w:left="-57" w:right="-57"/>
              <w:jc w:val="center"/>
              <w:rPr>
                <w:rFonts w:ascii="仿宋_GB2312" w:eastAsia="仿宋_GB2312"/>
                <w:kern w:val="0"/>
                <w:sz w:val="24"/>
                <w:highlight w:val="none"/>
              </w:rPr>
            </w:pPr>
          </w:p>
        </w:tc>
        <w:tc>
          <w:tcPr>
            <w:tcW w:w="910" w:type="dxa"/>
            <w:vAlign w:val="center"/>
          </w:tcPr>
          <w:p>
            <w:pPr>
              <w:snapToGrid w:val="0"/>
              <w:ind w:left="-57" w:right="-57"/>
              <w:jc w:val="center"/>
              <w:rPr>
                <w:rFonts w:ascii="仿宋_GB2312" w:eastAsia="仿宋_GB2312"/>
                <w:kern w:val="0"/>
                <w:sz w:val="24"/>
                <w:highlight w:val="none"/>
              </w:rPr>
            </w:pPr>
          </w:p>
        </w:tc>
        <w:tc>
          <w:tcPr>
            <w:tcW w:w="2519" w:type="dxa"/>
            <w:vAlign w:val="center"/>
          </w:tcPr>
          <w:p>
            <w:pPr>
              <w:snapToGrid w:val="0"/>
              <w:ind w:left="-57" w:right="-57"/>
              <w:jc w:val="center"/>
              <w:rPr>
                <w:rFonts w:ascii="仿宋_GB2312" w:eastAsia="仿宋_GB2312"/>
                <w:kern w:val="0"/>
                <w:sz w:val="24"/>
                <w:highlight w:val="none"/>
              </w:rPr>
            </w:pPr>
          </w:p>
        </w:tc>
        <w:tc>
          <w:tcPr>
            <w:tcW w:w="1804" w:type="dxa"/>
            <w:vAlign w:val="center"/>
          </w:tcPr>
          <w:p>
            <w:pPr>
              <w:snapToGrid w:val="0"/>
              <w:ind w:left="-57" w:right="-57"/>
              <w:jc w:val="center"/>
              <w:rPr>
                <w:rFonts w:ascii="仿宋_GB2312" w:eastAsia="仿宋_GB2312"/>
                <w:kern w:val="0"/>
                <w:sz w:val="24"/>
                <w:highlight w:val="none"/>
              </w:rPr>
            </w:pPr>
          </w:p>
        </w:tc>
        <w:tc>
          <w:tcPr>
            <w:tcW w:w="1942" w:type="dxa"/>
          </w:tcPr>
          <w:p>
            <w:pPr>
              <w:snapToGrid w:val="0"/>
              <w:ind w:left="-57" w:right="-57"/>
              <w:jc w:val="center"/>
              <w:rPr>
                <w:rFonts w:ascii="仿宋_GB2312" w:eastAsia="仿宋_GB2312"/>
                <w:kern w:val="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pPr>
              <w:snapToGrid w:val="0"/>
              <w:ind w:left="-57" w:right="-57"/>
              <w:jc w:val="center"/>
              <w:rPr>
                <w:rFonts w:ascii="仿宋_GB2312" w:eastAsia="仿宋_GB2312"/>
                <w:kern w:val="0"/>
                <w:sz w:val="24"/>
                <w:highlight w:val="none"/>
              </w:rPr>
            </w:pPr>
          </w:p>
          <w:p>
            <w:pPr>
              <w:snapToGrid w:val="0"/>
              <w:ind w:left="-57" w:right="-57"/>
              <w:jc w:val="center"/>
              <w:rPr>
                <w:rFonts w:ascii="仿宋_GB2312" w:eastAsia="仿宋_GB2312"/>
                <w:kern w:val="0"/>
                <w:sz w:val="24"/>
                <w:highlight w:val="none"/>
              </w:rPr>
            </w:pPr>
          </w:p>
        </w:tc>
        <w:tc>
          <w:tcPr>
            <w:tcW w:w="910" w:type="dxa"/>
            <w:vAlign w:val="center"/>
          </w:tcPr>
          <w:p>
            <w:pPr>
              <w:snapToGrid w:val="0"/>
              <w:ind w:left="-57" w:right="-57"/>
              <w:jc w:val="center"/>
              <w:rPr>
                <w:rFonts w:ascii="仿宋_GB2312" w:eastAsia="仿宋_GB2312"/>
                <w:kern w:val="0"/>
                <w:sz w:val="24"/>
                <w:highlight w:val="none"/>
              </w:rPr>
            </w:pPr>
          </w:p>
        </w:tc>
        <w:tc>
          <w:tcPr>
            <w:tcW w:w="2519" w:type="dxa"/>
            <w:vAlign w:val="center"/>
          </w:tcPr>
          <w:p>
            <w:pPr>
              <w:snapToGrid w:val="0"/>
              <w:ind w:left="-57" w:right="-57"/>
              <w:jc w:val="center"/>
              <w:rPr>
                <w:rFonts w:ascii="仿宋_GB2312" w:eastAsia="仿宋_GB2312"/>
                <w:kern w:val="0"/>
                <w:sz w:val="24"/>
                <w:highlight w:val="none"/>
              </w:rPr>
            </w:pPr>
          </w:p>
        </w:tc>
        <w:tc>
          <w:tcPr>
            <w:tcW w:w="1804" w:type="dxa"/>
            <w:vAlign w:val="center"/>
          </w:tcPr>
          <w:p>
            <w:pPr>
              <w:snapToGrid w:val="0"/>
              <w:ind w:left="-57" w:right="-57"/>
              <w:jc w:val="center"/>
              <w:rPr>
                <w:rFonts w:ascii="仿宋_GB2312" w:eastAsia="仿宋_GB2312"/>
                <w:kern w:val="0"/>
                <w:sz w:val="24"/>
                <w:highlight w:val="none"/>
              </w:rPr>
            </w:pPr>
          </w:p>
        </w:tc>
        <w:tc>
          <w:tcPr>
            <w:tcW w:w="1942" w:type="dxa"/>
          </w:tcPr>
          <w:p>
            <w:pPr>
              <w:snapToGrid w:val="0"/>
              <w:ind w:left="-57" w:right="-57"/>
              <w:jc w:val="center"/>
              <w:rPr>
                <w:rFonts w:ascii="仿宋_GB2312" w:eastAsia="仿宋_GB2312"/>
                <w:kern w:val="0"/>
                <w:sz w:val="24"/>
                <w:highlight w:val="none"/>
              </w:rPr>
            </w:pPr>
          </w:p>
        </w:tc>
      </w:tr>
    </w:tbl>
    <w:p>
      <w:pPr>
        <w:spacing w:line="600" w:lineRule="exact"/>
        <w:rPr>
          <w:rFonts w:ascii="仿宋" w:hAnsi="仿宋" w:eastAsia="仿宋"/>
          <w:sz w:val="24"/>
          <w:highlight w:val="none"/>
        </w:rPr>
      </w:pPr>
    </w:p>
    <w:p>
      <w:pPr>
        <w:spacing w:line="360" w:lineRule="auto"/>
        <w:rPr>
          <w:rFonts w:ascii="黑体" w:hAnsi="黑体" w:eastAsia="黑体"/>
          <w:sz w:val="32"/>
          <w:szCs w:val="32"/>
          <w:highlight w:val="none"/>
        </w:rPr>
      </w:pPr>
      <w:bookmarkStart w:id="12" w:name="_Toc455607508"/>
      <w:r>
        <w:rPr>
          <w:rFonts w:hint="eastAsia" w:ascii="黑体" w:hAnsi="黑体" w:eastAsia="黑体"/>
          <w:sz w:val="32"/>
          <w:szCs w:val="32"/>
          <w:highlight w:val="none"/>
        </w:rPr>
        <w:t>二、</w:t>
      </w:r>
      <w:r>
        <w:rPr>
          <w:rFonts w:ascii="黑体" w:hAnsi="黑体" w:eastAsia="黑体"/>
          <w:sz w:val="32"/>
          <w:szCs w:val="32"/>
          <w:highlight w:val="none"/>
        </w:rPr>
        <w:t>投入本</w:t>
      </w:r>
      <w:r>
        <w:rPr>
          <w:rFonts w:hint="eastAsia" w:ascii="黑体" w:hAnsi="黑体" w:eastAsia="黑体"/>
          <w:sz w:val="32"/>
          <w:szCs w:val="32"/>
          <w:highlight w:val="none"/>
        </w:rPr>
        <w:t>项目</w:t>
      </w:r>
      <w:r>
        <w:rPr>
          <w:rFonts w:ascii="黑体" w:hAnsi="黑体" w:eastAsia="黑体"/>
          <w:sz w:val="32"/>
          <w:szCs w:val="32"/>
          <w:highlight w:val="none"/>
        </w:rPr>
        <w:t>的主要</w:t>
      </w:r>
      <w:r>
        <w:rPr>
          <w:rFonts w:hint="eastAsia" w:ascii="黑体" w:hAnsi="黑体" w:eastAsia="黑体"/>
          <w:sz w:val="32"/>
          <w:szCs w:val="32"/>
          <w:highlight w:val="none"/>
        </w:rPr>
        <w:t>负责人</w:t>
      </w:r>
      <w:r>
        <w:rPr>
          <w:rFonts w:ascii="黑体" w:hAnsi="黑体" w:eastAsia="黑体"/>
          <w:sz w:val="32"/>
          <w:szCs w:val="32"/>
          <w:highlight w:val="none"/>
        </w:rPr>
        <w:t>资历表</w:t>
      </w:r>
      <w:bookmarkEnd w:id="12"/>
    </w:p>
    <w:tbl>
      <w:tblPr>
        <w:tblStyle w:val="1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4"/>
        <w:gridCol w:w="976"/>
        <w:gridCol w:w="1654"/>
        <w:gridCol w:w="126"/>
        <w:gridCol w:w="1329"/>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姓名</w:t>
            </w:r>
          </w:p>
        </w:tc>
        <w:tc>
          <w:tcPr>
            <w:tcW w:w="1774" w:type="dxa"/>
          </w:tcPr>
          <w:p>
            <w:pPr>
              <w:snapToGrid w:val="0"/>
              <w:ind w:left="-57" w:right="-57"/>
              <w:jc w:val="center"/>
              <w:rPr>
                <w:rFonts w:ascii="仿宋_GB2312" w:eastAsia="仿宋_GB2312"/>
                <w:kern w:val="0"/>
                <w:sz w:val="24"/>
                <w:highlight w:val="none"/>
              </w:rPr>
            </w:pPr>
          </w:p>
        </w:tc>
        <w:tc>
          <w:tcPr>
            <w:tcW w:w="976" w:type="dxa"/>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职务</w:t>
            </w:r>
          </w:p>
        </w:tc>
        <w:tc>
          <w:tcPr>
            <w:tcW w:w="1654" w:type="dxa"/>
          </w:tcPr>
          <w:p>
            <w:pPr>
              <w:snapToGrid w:val="0"/>
              <w:ind w:left="-57" w:right="-57"/>
              <w:jc w:val="center"/>
              <w:rPr>
                <w:rFonts w:ascii="仿宋_GB2312" w:eastAsia="仿宋_GB2312"/>
                <w:kern w:val="0"/>
                <w:sz w:val="24"/>
                <w:highlight w:val="none"/>
              </w:rPr>
            </w:pPr>
          </w:p>
        </w:tc>
        <w:tc>
          <w:tcPr>
            <w:tcW w:w="1455" w:type="dxa"/>
            <w:gridSpan w:val="2"/>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职称</w:t>
            </w:r>
          </w:p>
        </w:tc>
        <w:tc>
          <w:tcPr>
            <w:tcW w:w="1301" w:type="dxa"/>
          </w:tcPr>
          <w:p>
            <w:pPr>
              <w:snapToGrid w:val="0"/>
              <w:ind w:left="-57" w:right="-57"/>
              <w:jc w:val="center"/>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年龄</w:t>
            </w:r>
          </w:p>
        </w:tc>
        <w:tc>
          <w:tcPr>
            <w:tcW w:w="1774" w:type="dxa"/>
          </w:tcPr>
          <w:p>
            <w:pPr>
              <w:snapToGrid w:val="0"/>
              <w:ind w:left="-57" w:right="-57"/>
              <w:jc w:val="center"/>
              <w:rPr>
                <w:rFonts w:ascii="仿宋_GB2312" w:eastAsia="仿宋_GB2312"/>
                <w:kern w:val="0"/>
                <w:sz w:val="24"/>
                <w:highlight w:val="none"/>
              </w:rPr>
            </w:pPr>
          </w:p>
        </w:tc>
        <w:tc>
          <w:tcPr>
            <w:tcW w:w="976" w:type="dxa"/>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拟任职</w:t>
            </w:r>
          </w:p>
        </w:tc>
        <w:tc>
          <w:tcPr>
            <w:tcW w:w="1654" w:type="dxa"/>
          </w:tcPr>
          <w:p>
            <w:pPr>
              <w:snapToGrid w:val="0"/>
              <w:ind w:left="-57" w:right="-57"/>
              <w:jc w:val="center"/>
              <w:rPr>
                <w:rFonts w:ascii="仿宋_GB2312" w:eastAsia="仿宋_GB2312"/>
                <w:kern w:val="0"/>
                <w:sz w:val="24"/>
                <w:highlight w:val="none"/>
              </w:rPr>
            </w:pPr>
          </w:p>
        </w:tc>
        <w:tc>
          <w:tcPr>
            <w:tcW w:w="1455" w:type="dxa"/>
            <w:gridSpan w:val="2"/>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参加工作时间</w:t>
            </w:r>
          </w:p>
        </w:tc>
        <w:tc>
          <w:tcPr>
            <w:tcW w:w="1301" w:type="dxa"/>
          </w:tcPr>
          <w:p>
            <w:pPr>
              <w:snapToGrid w:val="0"/>
              <w:ind w:left="-57" w:right="-57"/>
              <w:jc w:val="center"/>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10" w:type="dxa"/>
            <w:gridSpan w:val="2"/>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学历（毕业学校、时间、专业）</w:t>
            </w:r>
          </w:p>
        </w:tc>
        <w:tc>
          <w:tcPr>
            <w:tcW w:w="5386" w:type="dxa"/>
            <w:gridSpan w:val="5"/>
          </w:tcPr>
          <w:p>
            <w:pPr>
              <w:snapToGrid w:val="0"/>
              <w:ind w:left="-57" w:right="-57"/>
              <w:jc w:val="center"/>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开始年份</w:t>
            </w:r>
          </w:p>
        </w:tc>
        <w:tc>
          <w:tcPr>
            <w:tcW w:w="4530" w:type="dxa"/>
            <w:gridSpan w:val="4"/>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参加过的主要项目名称</w:t>
            </w:r>
          </w:p>
        </w:tc>
        <w:tc>
          <w:tcPr>
            <w:tcW w:w="2630" w:type="dxa"/>
            <w:gridSpan w:val="2"/>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pPr>
              <w:snapToGrid w:val="0"/>
              <w:ind w:left="-57" w:right="-57"/>
              <w:jc w:val="center"/>
              <w:rPr>
                <w:rFonts w:ascii="仿宋_GB2312" w:eastAsia="仿宋_GB2312"/>
                <w:kern w:val="0"/>
                <w:sz w:val="24"/>
                <w:highlight w:val="none"/>
              </w:rPr>
            </w:pPr>
          </w:p>
        </w:tc>
        <w:tc>
          <w:tcPr>
            <w:tcW w:w="4530" w:type="dxa"/>
            <w:gridSpan w:val="4"/>
            <w:vAlign w:val="center"/>
          </w:tcPr>
          <w:p>
            <w:pPr>
              <w:snapToGrid w:val="0"/>
              <w:ind w:left="-57" w:right="-57"/>
              <w:jc w:val="center"/>
              <w:rPr>
                <w:rFonts w:ascii="仿宋_GB2312" w:eastAsia="仿宋_GB2312"/>
                <w:kern w:val="0"/>
                <w:sz w:val="24"/>
                <w:highlight w:val="none"/>
              </w:rPr>
            </w:pPr>
          </w:p>
        </w:tc>
        <w:tc>
          <w:tcPr>
            <w:tcW w:w="2630" w:type="dxa"/>
            <w:gridSpan w:val="2"/>
            <w:vAlign w:val="center"/>
          </w:tcPr>
          <w:p>
            <w:pPr>
              <w:snapToGrid w:val="0"/>
              <w:ind w:left="-57" w:right="-57"/>
              <w:jc w:val="center"/>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pPr>
              <w:snapToGrid w:val="0"/>
              <w:ind w:left="-57" w:right="-57"/>
              <w:jc w:val="center"/>
              <w:rPr>
                <w:rFonts w:ascii="仿宋_GB2312" w:eastAsia="仿宋_GB2312"/>
                <w:kern w:val="0"/>
                <w:sz w:val="24"/>
                <w:highlight w:val="none"/>
              </w:rPr>
            </w:pPr>
          </w:p>
        </w:tc>
        <w:tc>
          <w:tcPr>
            <w:tcW w:w="4530" w:type="dxa"/>
            <w:gridSpan w:val="4"/>
            <w:vAlign w:val="center"/>
          </w:tcPr>
          <w:p>
            <w:pPr>
              <w:snapToGrid w:val="0"/>
              <w:ind w:left="-57" w:right="-57"/>
              <w:jc w:val="center"/>
              <w:rPr>
                <w:rFonts w:ascii="仿宋_GB2312" w:eastAsia="仿宋_GB2312"/>
                <w:kern w:val="0"/>
                <w:sz w:val="24"/>
                <w:highlight w:val="none"/>
              </w:rPr>
            </w:pPr>
          </w:p>
        </w:tc>
        <w:tc>
          <w:tcPr>
            <w:tcW w:w="2630" w:type="dxa"/>
            <w:gridSpan w:val="2"/>
            <w:vAlign w:val="center"/>
          </w:tcPr>
          <w:p>
            <w:pPr>
              <w:snapToGrid w:val="0"/>
              <w:ind w:left="-57" w:right="-57"/>
              <w:jc w:val="center"/>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pPr>
              <w:snapToGrid w:val="0"/>
              <w:ind w:left="-57" w:right="-57"/>
              <w:jc w:val="center"/>
              <w:rPr>
                <w:rFonts w:ascii="仿宋_GB2312" w:eastAsia="仿宋_GB2312"/>
                <w:kern w:val="0"/>
                <w:sz w:val="24"/>
                <w:highlight w:val="none"/>
              </w:rPr>
            </w:pPr>
          </w:p>
        </w:tc>
        <w:tc>
          <w:tcPr>
            <w:tcW w:w="4530" w:type="dxa"/>
            <w:gridSpan w:val="4"/>
            <w:vAlign w:val="center"/>
          </w:tcPr>
          <w:p>
            <w:pPr>
              <w:snapToGrid w:val="0"/>
              <w:ind w:left="-57" w:right="-57"/>
              <w:jc w:val="center"/>
              <w:rPr>
                <w:rFonts w:ascii="仿宋_GB2312" w:eastAsia="仿宋_GB2312"/>
                <w:kern w:val="0"/>
                <w:sz w:val="24"/>
                <w:highlight w:val="none"/>
              </w:rPr>
            </w:pPr>
          </w:p>
        </w:tc>
        <w:tc>
          <w:tcPr>
            <w:tcW w:w="2630" w:type="dxa"/>
            <w:gridSpan w:val="2"/>
            <w:vAlign w:val="center"/>
          </w:tcPr>
          <w:p>
            <w:pPr>
              <w:snapToGrid w:val="0"/>
              <w:ind w:left="-57" w:right="-57"/>
              <w:jc w:val="center"/>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pPr>
              <w:snapToGrid w:val="0"/>
              <w:ind w:left="-57" w:right="-57"/>
              <w:jc w:val="center"/>
              <w:rPr>
                <w:rFonts w:ascii="仿宋_GB2312" w:eastAsia="仿宋_GB2312"/>
                <w:kern w:val="0"/>
                <w:sz w:val="24"/>
                <w:highlight w:val="none"/>
              </w:rPr>
            </w:pPr>
          </w:p>
        </w:tc>
        <w:tc>
          <w:tcPr>
            <w:tcW w:w="4530" w:type="dxa"/>
            <w:gridSpan w:val="4"/>
            <w:vAlign w:val="center"/>
          </w:tcPr>
          <w:p>
            <w:pPr>
              <w:snapToGrid w:val="0"/>
              <w:ind w:left="-57" w:right="-57"/>
              <w:jc w:val="center"/>
              <w:rPr>
                <w:rFonts w:ascii="仿宋_GB2312" w:eastAsia="仿宋_GB2312"/>
                <w:kern w:val="0"/>
                <w:sz w:val="24"/>
                <w:highlight w:val="none"/>
              </w:rPr>
            </w:pPr>
          </w:p>
        </w:tc>
        <w:tc>
          <w:tcPr>
            <w:tcW w:w="2630" w:type="dxa"/>
            <w:gridSpan w:val="2"/>
            <w:vAlign w:val="center"/>
          </w:tcPr>
          <w:p>
            <w:pPr>
              <w:snapToGrid w:val="0"/>
              <w:ind w:left="-57" w:right="-57"/>
              <w:jc w:val="center"/>
              <w:rPr>
                <w:rFonts w:ascii="仿宋_GB2312" w:eastAsia="仿宋_GB2312"/>
                <w:kern w:val="0"/>
                <w:sz w:val="24"/>
                <w:highlight w:val="none"/>
              </w:rPr>
            </w:pPr>
          </w:p>
        </w:tc>
      </w:tr>
    </w:tbl>
    <w:p>
      <w:pPr>
        <w:widowControl/>
        <w:jc w:val="left"/>
        <w:rPr>
          <w:rFonts w:ascii="仿宋_GB2312" w:eastAsia="仿宋_GB2312"/>
          <w:sz w:val="24"/>
          <w:highlight w:val="none"/>
        </w:rPr>
      </w:pPr>
      <w:r>
        <w:rPr>
          <w:rFonts w:ascii="仿宋_GB2312" w:eastAsia="仿宋_GB2312"/>
          <w:sz w:val="24"/>
          <w:highlight w:val="none"/>
        </w:rPr>
        <w:t>注：在本表后应附</w:t>
      </w:r>
      <w:r>
        <w:rPr>
          <w:rFonts w:hint="eastAsia" w:ascii="仿宋_GB2312" w:eastAsia="仿宋_GB2312"/>
          <w:sz w:val="24"/>
          <w:highlight w:val="none"/>
        </w:rPr>
        <w:t>其</w:t>
      </w:r>
      <w:r>
        <w:rPr>
          <w:rFonts w:ascii="仿宋_GB2312" w:eastAsia="仿宋_GB2312"/>
          <w:sz w:val="24"/>
          <w:highlight w:val="none"/>
        </w:rPr>
        <w:t>相关证件等。</w:t>
      </w:r>
    </w:p>
    <w:p>
      <w:pPr>
        <w:spacing w:line="360" w:lineRule="auto"/>
        <w:rPr>
          <w:rFonts w:ascii="仿宋_GB2312" w:hAnsi="仿宋" w:eastAsia="仿宋_GB2312"/>
          <w:sz w:val="32"/>
          <w:szCs w:val="32"/>
          <w:highlight w:val="none"/>
        </w:rPr>
      </w:pPr>
      <w:bookmarkStart w:id="13" w:name="_Toc455607509"/>
    </w:p>
    <w:p>
      <w:pPr>
        <w:spacing w:line="360" w:lineRule="auto"/>
        <w:rPr>
          <w:rFonts w:ascii="黑体" w:hAnsi="黑体" w:eastAsia="黑体"/>
          <w:sz w:val="32"/>
          <w:szCs w:val="32"/>
          <w:highlight w:val="none"/>
        </w:rPr>
      </w:pPr>
      <w:r>
        <w:rPr>
          <w:rFonts w:hint="eastAsia" w:ascii="黑体" w:hAnsi="黑体" w:eastAsia="黑体"/>
          <w:sz w:val="32"/>
          <w:szCs w:val="32"/>
          <w:highlight w:val="none"/>
        </w:rPr>
        <w:t>三、</w:t>
      </w:r>
      <w:r>
        <w:rPr>
          <w:rFonts w:ascii="黑体" w:hAnsi="黑体" w:eastAsia="黑体"/>
          <w:sz w:val="32"/>
          <w:szCs w:val="32"/>
          <w:highlight w:val="none"/>
        </w:rPr>
        <w:t>投入本</w:t>
      </w:r>
      <w:r>
        <w:rPr>
          <w:rFonts w:hint="eastAsia" w:ascii="黑体" w:hAnsi="黑体" w:eastAsia="黑体"/>
          <w:sz w:val="32"/>
          <w:szCs w:val="32"/>
          <w:highlight w:val="none"/>
        </w:rPr>
        <w:t>项目</w:t>
      </w:r>
      <w:r>
        <w:rPr>
          <w:rFonts w:ascii="黑体" w:hAnsi="黑体" w:eastAsia="黑体"/>
          <w:sz w:val="32"/>
          <w:szCs w:val="32"/>
          <w:highlight w:val="none"/>
        </w:rPr>
        <w:t>的主要</w:t>
      </w:r>
      <w:r>
        <w:rPr>
          <w:rFonts w:hint="eastAsia" w:ascii="黑体" w:hAnsi="黑体" w:eastAsia="黑体"/>
          <w:sz w:val="32"/>
          <w:szCs w:val="32"/>
          <w:highlight w:val="none"/>
        </w:rPr>
        <w:t>团队人员</w:t>
      </w:r>
      <w:r>
        <w:rPr>
          <w:rFonts w:ascii="黑体" w:hAnsi="黑体" w:eastAsia="黑体"/>
          <w:sz w:val="32"/>
          <w:szCs w:val="32"/>
          <w:highlight w:val="none"/>
        </w:rPr>
        <w:t>资历表</w:t>
      </w:r>
      <w:bookmarkEnd w:id="13"/>
    </w:p>
    <w:tbl>
      <w:tblPr>
        <w:tblStyle w:val="12"/>
        <w:tblW w:w="8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793"/>
        <w:gridCol w:w="985"/>
        <w:gridCol w:w="1672"/>
        <w:gridCol w:w="282"/>
        <w:gridCol w:w="1188"/>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姓名</w:t>
            </w:r>
          </w:p>
        </w:tc>
        <w:tc>
          <w:tcPr>
            <w:tcW w:w="1793" w:type="dxa"/>
          </w:tcPr>
          <w:p>
            <w:pPr>
              <w:snapToGrid w:val="0"/>
              <w:ind w:left="-57" w:right="-57"/>
              <w:jc w:val="center"/>
              <w:rPr>
                <w:rFonts w:ascii="仿宋_GB2312" w:eastAsia="仿宋_GB2312"/>
                <w:kern w:val="0"/>
                <w:sz w:val="24"/>
                <w:highlight w:val="none"/>
              </w:rPr>
            </w:pPr>
          </w:p>
        </w:tc>
        <w:tc>
          <w:tcPr>
            <w:tcW w:w="985" w:type="dxa"/>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职务</w:t>
            </w:r>
          </w:p>
        </w:tc>
        <w:tc>
          <w:tcPr>
            <w:tcW w:w="1672" w:type="dxa"/>
          </w:tcPr>
          <w:p>
            <w:pPr>
              <w:snapToGrid w:val="0"/>
              <w:ind w:left="-57" w:right="-57"/>
              <w:jc w:val="center"/>
              <w:rPr>
                <w:rFonts w:ascii="仿宋_GB2312" w:eastAsia="仿宋_GB2312"/>
                <w:kern w:val="0"/>
                <w:sz w:val="24"/>
                <w:highlight w:val="none"/>
              </w:rPr>
            </w:pPr>
          </w:p>
        </w:tc>
        <w:tc>
          <w:tcPr>
            <w:tcW w:w="1470" w:type="dxa"/>
            <w:gridSpan w:val="2"/>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职称</w:t>
            </w:r>
          </w:p>
        </w:tc>
        <w:tc>
          <w:tcPr>
            <w:tcW w:w="1317" w:type="dxa"/>
          </w:tcPr>
          <w:p>
            <w:pPr>
              <w:snapToGrid w:val="0"/>
              <w:ind w:left="-57" w:right="-57"/>
              <w:jc w:val="center"/>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年龄</w:t>
            </w:r>
          </w:p>
        </w:tc>
        <w:tc>
          <w:tcPr>
            <w:tcW w:w="1793" w:type="dxa"/>
          </w:tcPr>
          <w:p>
            <w:pPr>
              <w:snapToGrid w:val="0"/>
              <w:ind w:left="-57" w:right="-57"/>
              <w:jc w:val="center"/>
              <w:rPr>
                <w:rFonts w:ascii="仿宋_GB2312" w:eastAsia="仿宋_GB2312"/>
                <w:kern w:val="0"/>
                <w:sz w:val="24"/>
                <w:highlight w:val="none"/>
              </w:rPr>
            </w:pPr>
          </w:p>
        </w:tc>
        <w:tc>
          <w:tcPr>
            <w:tcW w:w="985" w:type="dxa"/>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拟任职</w:t>
            </w:r>
          </w:p>
        </w:tc>
        <w:tc>
          <w:tcPr>
            <w:tcW w:w="1672" w:type="dxa"/>
          </w:tcPr>
          <w:p>
            <w:pPr>
              <w:snapToGrid w:val="0"/>
              <w:ind w:left="-57" w:right="-57"/>
              <w:jc w:val="center"/>
              <w:rPr>
                <w:rFonts w:ascii="仿宋_GB2312" w:eastAsia="仿宋_GB2312"/>
                <w:kern w:val="0"/>
                <w:sz w:val="24"/>
                <w:highlight w:val="none"/>
              </w:rPr>
            </w:pPr>
          </w:p>
        </w:tc>
        <w:tc>
          <w:tcPr>
            <w:tcW w:w="1470" w:type="dxa"/>
            <w:gridSpan w:val="2"/>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参加工作时间</w:t>
            </w:r>
          </w:p>
        </w:tc>
        <w:tc>
          <w:tcPr>
            <w:tcW w:w="1317" w:type="dxa"/>
          </w:tcPr>
          <w:p>
            <w:pPr>
              <w:snapToGrid w:val="0"/>
              <w:ind w:left="-57" w:right="-57"/>
              <w:jc w:val="center"/>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2942" w:type="dxa"/>
            <w:gridSpan w:val="2"/>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学历（毕业学校、时间、专业）</w:t>
            </w:r>
          </w:p>
        </w:tc>
        <w:tc>
          <w:tcPr>
            <w:tcW w:w="5444" w:type="dxa"/>
            <w:gridSpan w:val="5"/>
          </w:tcPr>
          <w:p>
            <w:pPr>
              <w:snapToGrid w:val="0"/>
              <w:ind w:left="-57" w:right="-57"/>
              <w:jc w:val="center"/>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49" w:type="dxa"/>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开始年份</w:t>
            </w:r>
          </w:p>
        </w:tc>
        <w:tc>
          <w:tcPr>
            <w:tcW w:w="4732" w:type="dxa"/>
            <w:gridSpan w:val="4"/>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参加过的主要项目名称</w:t>
            </w:r>
          </w:p>
        </w:tc>
        <w:tc>
          <w:tcPr>
            <w:tcW w:w="2505" w:type="dxa"/>
            <w:gridSpan w:val="2"/>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pPr>
              <w:snapToGrid w:val="0"/>
              <w:ind w:left="-57" w:right="-57"/>
              <w:jc w:val="center"/>
              <w:rPr>
                <w:rFonts w:ascii="仿宋_GB2312" w:eastAsia="仿宋_GB2312"/>
                <w:kern w:val="0"/>
                <w:sz w:val="24"/>
                <w:highlight w:val="none"/>
              </w:rPr>
            </w:pPr>
          </w:p>
        </w:tc>
        <w:tc>
          <w:tcPr>
            <w:tcW w:w="4732" w:type="dxa"/>
            <w:gridSpan w:val="4"/>
            <w:vAlign w:val="center"/>
          </w:tcPr>
          <w:p>
            <w:pPr>
              <w:snapToGrid w:val="0"/>
              <w:ind w:left="-57" w:right="-57"/>
              <w:jc w:val="center"/>
              <w:rPr>
                <w:rFonts w:ascii="仿宋_GB2312" w:eastAsia="仿宋_GB2312"/>
                <w:kern w:val="0"/>
                <w:sz w:val="24"/>
                <w:highlight w:val="none"/>
              </w:rPr>
            </w:pPr>
          </w:p>
        </w:tc>
        <w:tc>
          <w:tcPr>
            <w:tcW w:w="2505" w:type="dxa"/>
            <w:gridSpan w:val="2"/>
            <w:vAlign w:val="center"/>
          </w:tcPr>
          <w:p>
            <w:pPr>
              <w:snapToGrid w:val="0"/>
              <w:ind w:left="-57" w:right="-57"/>
              <w:jc w:val="center"/>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pPr>
              <w:snapToGrid w:val="0"/>
              <w:ind w:left="-57" w:right="-57"/>
              <w:jc w:val="center"/>
              <w:rPr>
                <w:rFonts w:ascii="仿宋_GB2312" w:eastAsia="仿宋_GB2312"/>
                <w:kern w:val="0"/>
                <w:sz w:val="24"/>
                <w:highlight w:val="none"/>
              </w:rPr>
            </w:pPr>
          </w:p>
        </w:tc>
        <w:tc>
          <w:tcPr>
            <w:tcW w:w="4732" w:type="dxa"/>
            <w:gridSpan w:val="4"/>
            <w:vAlign w:val="center"/>
          </w:tcPr>
          <w:p>
            <w:pPr>
              <w:snapToGrid w:val="0"/>
              <w:ind w:left="-57" w:right="-57"/>
              <w:jc w:val="center"/>
              <w:rPr>
                <w:rFonts w:ascii="仿宋_GB2312" w:eastAsia="仿宋_GB2312"/>
                <w:kern w:val="0"/>
                <w:sz w:val="24"/>
                <w:highlight w:val="none"/>
              </w:rPr>
            </w:pPr>
          </w:p>
        </w:tc>
        <w:tc>
          <w:tcPr>
            <w:tcW w:w="2505" w:type="dxa"/>
            <w:gridSpan w:val="2"/>
            <w:vAlign w:val="center"/>
          </w:tcPr>
          <w:p>
            <w:pPr>
              <w:snapToGrid w:val="0"/>
              <w:ind w:left="-57" w:right="-57"/>
              <w:jc w:val="center"/>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pPr>
              <w:snapToGrid w:val="0"/>
              <w:ind w:left="-57" w:right="-57"/>
              <w:jc w:val="center"/>
              <w:rPr>
                <w:rFonts w:ascii="仿宋_GB2312" w:eastAsia="仿宋_GB2312"/>
                <w:kern w:val="0"/>
                <w:sz w:val="24"/>
                <w:highlight w:val="none"/>
              </w:rPr>
            </w:pPr>
          </w:p>
        </w:tc>
        <w:tc>
          <w:tcPr>
            <w:tcW w:w="4732" w:type="dxa"/>
            <w:gridSpan w:val="4"/>
            <w:vAlign w:val="center"/>
          </w:tcPr>
          <w:p>
            <w:pPr>
              <w:snapToGrid w:val="0"/>
              <w:ind w:left="-57" w:right="-57"/>
              <w:jc w:val="center"/>
              <w:rPr>
                <w:rFonts w:ascii="仿宋_GB2312" w:eastAsia="仿宋_GB2312"/>
                <w:kern w:val="0"/>
                <w:sz w:val="24"/>
                <w:highlight w:val="none"/>
              </w:rPr>
            </w:pPr>
          </w:p>
        </w:tc>
        <w:tc>
          <w:tcPr>
            <w:tcW w:w="2505" w:type="dxa"/>
            <w:gridSpan w:val="2"/>
            <w:vAlign w:val="center"/>
          </w:tcPr>
          <w:p>
            <w:pPr>
              <w:snapToGrid w:val="0"/>
              <w:ind w:left="-57" w:right="-57"/>
              <w:jc w:val="center"/>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pPr>
              <w:snapToGrid w:val="0"/>
              <w:ind w:left="-57" w:right="-57"/>
              <w:jc w:val="center"/>
              <w:rPr>
                <w:rFonts w:ascii="仿宋_GB2312" w:eastAsia="仿宋_GB2312"/>
                <w:kern w:val="0"/>
                <w:sz w:val="24"/>
                <w:highlight w:val="none"/>
              </w:rPr>
            </w:pPr>
          </w:p>
        </w:tc>
        <w:tc>
          <w:tcPr>
            <w:tcW w:w="4732" w:type="dxa"/>
            <w:gridSpan w:val="4"/>
            <w:vAlign w:val="center"/>
          </w:tcPr>
          <w:p>
            <w:pPr>
              <w:snapToGrid w:val="0"/>
              <w:ind w:left="-57" w:right="-57"/>
              <w:jc w:val="center"/>
              <w:rPr>
                <w:rFonts w:ascii="仿宋_GB2312" w:eastAsia="仿宋_GB2312"/>
                <w:kern w:val="0"/>
                <w:sz w:val="24"/>
                <w:highlight w:val="none"/>
              </w:rPr>
            </w:pPr>
          </w:p>
        </w:tc>
        <w:tc>
          <w:tcPr>
            <w:tcW w:w="2505" w:type="dxa"/>
            <w:gridSpan w:val="2"/>
            <w:vAlign w:val="center"/>
          </w:tcPr>
          <w:p>
            <w:pPr>
              <w:snapToGrid w:val="0"/>
              <w:ind w:left="-57" w:right="-57"/>
              <w:jc w:val="center"/>
              <w:rPr>
                <w:rFonts w:ascii="仿宋_GB2312" w:eastAsia="仿宋_GB2312"/>
                <w:kern w:val="0"/>
                <w:sz w:val="24"/>
                <w:highlight w:val="none"/>
              </w:rPr>
            </w:pPr>
          </w:p>
        </w:tc>
      </w:tr>
    </w:tbl>
    <w:p>
      <w:pPr>
        <w:widowControl/>
        <w:jc w:val="left"/>
        <w:rPr>
          <w:rFonts w:ascii="仿宋_GB2312" w:eastAsia="仿宋_GB2312"/>
          <w:sz w:val="24"/>
          <w:highlight w:val="none"/>
        </w:rPr>
      </w:pPr>
      <w:r>
        <w:rPr>
          <w:rFonts w:hint="eastAsia" w:ascii="仿宋_GB2312" w:eastAsia="仿宋_GB2312"/>
          <w:sz w:val="24"/>
          <w:highlight w:val="none"/>
        </w:rPr>
        <w:t>注：在本表后应附其相关证件等。</w:t>
      </w:r>
    </w:p>
    <w:p>
      <w:pPr>
        <w:widowControl/>
        <w:jc w:val="left"/>
        <w:rPr>
          <w:rFonts w:ascii="仿宋_GB2312" w:eastAsia="仿宋_GB2312"/>
          <w:sz w:val="24"/>
          <w:highlight w:val="none"/>
        </w:rPr>
      </w:pP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参选机构（法人公章）</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法定代表人(签字或盖章)：</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授权代表(签字或盖章)：</w:t>
      </w:r>
    </w:p>
    <w:p>
      <w:pPr>
        <w:spacing w:line="600" w:lineRule="exact"/>
        <w:rPr>
          <w:rFonts w:ascii="仿宋" w:hAnsi="仿宋" w:eastAsia="仿宋"/>
          <w:sz w:val="24"/>
          <w:highlight w:val="none"/>
        </w:rPr>
      </w:pPr>
      <w:r>
        <w:rPr>
          <w:rFonts w:hint="eastAsia" w:ascii="仿宋_GB2312" w:hAnsi="仿宋" w:eastAsia="仿宋_GB2312"/>
          <w:sz w:val="32"/>
          <w:szCs w:val="32"/>
          <w:highlight w:val="none"/>
        </w:rPr>
        <w:t>日    期：</w:t>
      </w:r>
      <w:r>
        <w:rPr>
          <w:rFonts w:ascii="黑体" w:eastAsia="黑体"/>
          <w:sz w:val="32"/>
          <w:szCs w:val="32"/>
          <w:highlight w:val="none"/>
        </w:rPr>
        <w:br w:type="page"/>
      </w:r>
    </w:p>
    <w:p>
      <w:pPr>
        <w:pStyle w:val="3"/>
        <w:rPr>
          <w:rFonts w:ascii="黑体" w:eastAsia="黑体"/>
          <w:sz w:val="32"/>
          <w:szCs w:val="32"/>
          <w:highlight w:val="none"/>
        </w:rPr>
      </w:pPr>
      <w:r>
        <w:rPr>
          <w:rFonts w:hint="eastAsia" w:ascii="黑体" w:eastAsia="黑体"/>
          <w:sz w:val="32"/>
          <w:szCs w:val="32"/>
          <w:highlight w:val="none"/>
        </w:rPr>
        <w:t>附件四：比选报价表格式：</w:t>
      </w:r>
    </w:p>
    <w:p>
      <w:pPr>
        <w:jc w:val="center"/>
        <w:rPr>
          <w:rFonts w:ascii="方正小标宋_GBK" w:hAnsi="仿宋" w:eastAsia="方正小标宋_GBK"/>
          <w:b/>
          <w:sz w:val="44"/>
          <w:szCs w:val="44"/>
          <w:highlight w:val="none"/>
        </w:rPr>
      </w:pPr>
      <w:r>
        <w:rPr>
          <w:rFonts w:hint="eastAsia" w:ascii="方正小标宋_GBK" w:hAnsi="仿宋" w:eastAsia="方正小标宋_GBK"/>
          <w:b/>
          <w:sz w:val="44"/>
          <w:szCs w:val="44"/>
          <w:highlight w:val="none"/>
        </w:rPr>
        <w:t>比选报价表</w:t>
      </w:r>
    </w:p>
    <w:p>
      <w:pPr>
        <w:spacing w:before="312" w:beforeLines="100" w:line="360" w:lineRule="exact"/>
        <w:rPr>
          <w:rFonts w:ascii="方正仿宋_GBK" w:hAnsi="仿宋" w:eastAsia="方正仿宋_GBK"/>
          <w:sz w:val="30"/>
          <w:szCs w:val="30"/>
          <w:highlight w:val="none"/>
        </w:rPr>
      </w:pPr>
    </w:p>
    <w:tbl>
      <w:tblPr>
        <w:tblStyle w:val="12"/>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917"/>
        <w:gridCol w:w="1701"/>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593" w:type="dxa"/>
          </w:tcPr>
          <w:p>
            <w:pPr>
              <w:spacing w:before="312" w:beforeLines="100" w:line="360" w:lineRule="exact"/>
              <w:rPr>
                <w:rFonts w:ascii="仿宋_GB2312" w:hAnsi="仿宋" w:eastAsia="仿宋_GB2312"/>
                <w:sz w:val="32"/>
                <w:szCs w:val="32"/>
                <w:highlight w:val="none"/>
              </w:rPr>
            </w:pPr>
            <w:r>
              <w:rPr>
                <w:rFonts w:hint="eastAsia" w:ascii="仿宋_GB2312" w:hAnsi="仿宋" w:eastAsia="仿宋_GB2312"/>
                <w:sz w:val="32"/>
                <w:szCs w:val="32"/>
                <w:highlight w:val="none"/>
              </w:rPr>
              <w:t>序号</w:t>
            </w:r>
          </w:p>
        </w:tc>
        <w:tc>
          <w:tcPr>
            <w:tcW w:w="2917" w:type="dxa"/>
          </w:tcPr>
          <w:p>
            <w:pPr>
              <w:spacing w:before="312" w:beforeLines="100" w:line="360" w:lineRule="exact"/>
              <w:jc w:val="center"/>
              <w:rPr>
                <w:rFonts w:ascii="仿宋_GB2312" w:hAnsi="仿宋" w:eastAsia="仿宋_GB2312"/>
                <w:sz w:val="32"/>
                <w:szCs w:val="32"/>
                <w:highlight w:val="none"/>
              </w:rPr>
            </w:pPr>
            <w:r>
              <w:rPr>
                <w:rFonts w:hint="eastAsia" w:ascii="仿宋_GB2312" w:hAnsi="仿宋" w:eastAsia="仿宋_GB2312"/>
                <w:sz w:val="32"/>
                <w:szCs w:val="32"/>
                <w:highlight w:val="none"/>
              </w:rPr>
              <w:t>项目名称</w:t>
            </w:r>
          </w:p>
        </w:tc>
        <w:tc>
          <w:tcPr>
            <w:tcW w:w="1701" w:type="dxa"/>
          </w:tcPr>
          <w:p>
            <w:pPr>
              <w:spacing w:before="312" w:beforeLines="100" w:line="360" w:lineRule="exact"/>
              <w:jc w:val="center"/>
              <w:rPr>
                <w:rFonts w:ascii="仿宋_GB2312" w:hAnsi="仿宋" w:eastAsia="仿宋_GB2312"/>
                <w:sz w:val="32"/>
                <w:szCs w:val="32"/>
                <w:highlight w:val="none"/>
              </w:rPr>
            </w:pPr>
            <w:r>
              <w:rPr>
                <w:rFonts w:hint="eastAsia" w:ascii="仿宋_GB2312" w:hAnsi="仿宋" w:eastAsia="仿宋_GB2312"/>
                <w:sz w:val="32"/>
                <w:szCs w:val="32"/>
                <w:highlight w:val="none"/>
              </w:rPr>
              <w:t>比选报价</w:t>
            </w:r>
          </w:p>
        </w:tc>
        <w:tc>
          <w:tcPr>
            <w:tcW w:w="3119" w:type="dxa"/>
          </w:tcPr>
          <w:p>
            <w:pPr>
              <w:spacing w:before="312" w:beforeLines="100" w:line="360" w:lineRule="exact"/>
              <w:jc w:val="center"/>
              <w:rPr>
                <w:rFonts w:ascii="仿宋_GB2312" w:hAnsi="仿宋" w:eastAsia="仿宋_GB2312"/>
                <w:sz w:val="32"/>
                <w:szCs w:val="32"/>
                <w:highlight w:val="none"/>
              </w:rPr>
            </w:pPr>
            <w:r>
              <w:rPr>
                <w:rFonts w:hint="eastAsia" w:ascii="仿宋_GB2312" w:hAnsi="仿宋" w:eastAsia="仿宋_GB2312"/>
                <w:sz w:val="32"/>
                <w:szCs w:val="32"/>
                <w:highlight w:val="none"/>
              </w:rPr>
              <w:t>费用支付方式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593" w:type="dxa"/>
            <w:vAlign w:val="center"/>
          </w:tcPr>
          <w:p>
            <w:pPr>
              <w:spacing w:before="312" w:beforeLines="100" w:line="360" w:lineRule="exact"/>
              <w:jc w:val="center"/>
              <w:rPr>
                <w:rFonts w:ascii="仿宋_GB2312" w:hAnsi="仿宋" w:eastAsia="仿宋_GB2312"/>
                <w:sz w:val="32"/>
                <w:szCs w:val="32"/>
                <w:highlight w:val="none"/>
              </w:rPr>
            </w:pPr>
            <w:r>
              <w:rPr>
                <w:rFonts w:hint="eastAsia" w:ascii="仿宋_GB2312" w:hAnsi="仿宋" w:eastAsia="仿宋_GB2312"/>
                <w:sz w:val="32"/>
                <w:szCs w:val="32"/>
                <w:highlight w:val="none"/>
              </w:rPr>
              <w:t>1</w:t>
            </w:r>
          </w:p>
        </w:tc>
        <w:tc>
          <w:tcPr>
            <w:tcW w:w="2917" w:type="dxa"/>
            <w:vAlign w:val="center"/>
          </w:tcPr>
          <w:p>
            <w:pPr>
              <w:spacing w:before="312" w:beforeLines="100" w:line="360" w:lineRule="exact"/>
              <w:jc w:val="center"/>
              <w:rPr>
                <w:rFonts w:ascii="仿宋_GB2312" w:hAnsi="仿宋" w:eastAsia="仿宋_GB2312"/>
                <w:sz w:val="32"/>
                <w:szCs w:val="32"/>
                <w:highlight w:val="none"/>
              </w:rPr>
            </w:pPr>
            <w:r>
              <w:rPr>
                <w:rFonts w:hint="eastAsia" w:ascii="仿宋_GB2312" w:hAnsi="仿宋" w:eastAsia="仿宋_GB2312"/>
                <w:sz w:val="32"/>
                <w:szCs w:val="32"/>
                <w:highlight w:val="none"/>
              </w:rPr>
              <w:t>人力资源咨询服务项目</w:t>
            </w:r>
          </w:p>
        </w:tc>
        <w:tc>
          <w:tcPr>
            <w:tcW w:w="1701" w:type="dxa"/>
            <w:vAlign w:val="center"/>
          </w:tcPr>
          <w:p>
            <w:pPr>
              <w:spacing w:before="312" w:beforeLines="100" w:line="360" w:lineRule="exact"/>
              <w:jc w:val="center"/>
              <w:rPr>
                <w:rFonts w:ascii="仿宋_GB2312" w:hAnsi="仿宋" w:eastAsia="仿宋_GB2312"/>
                <w:sz w:val="32"/>
                <w:szCs w:val="32"/>
                <w:highlight w:val="none"/>
              </w:rPr>
            </w:pPr>
          </w:p>
        </w:tc>
        <w:tc>
          <w:tcPr>
            <w:tcW w:w="3119" w:type="dxa"/>
            <w:vAlign w:val="center"/>
          </w:tcPr>
          <w:p>
            <w:pPr>
              <w:spacing w:before="312" w:beforeLines="100" w:line="360" w:lineRule="exact"/>
              <w:jc w:val="center"/>
              <w:rPr>
                <w:rFonts w:ascii="仿宋_GB2312" w:hAnsi="仿宋" w:eastAsia="仿宋_GB2312"/>
                <w:sz w:val="32"/>
                <w:szCs w:val="32"/>
                <w:highlight w:val="none"/>
              </w:rPr>
            </w:pPr>
          </w:p>
        </w:tc>
      </w:tr>
    </w:tbl>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                            参选机构（法人公章）</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                            法定代表人(签字或盖章)：</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                            授权代表(签字或盖章)：</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                            日    期：</w:t>
      </w:r>
    </w:p>
    <w:p>
      <w:pPr>
        <w:widowControl/>
        <w:jc w:val="left"/>
        <w:rPr>
          <w:rFonts w:ascii="黑体" w:hAnsi="黑体" w:eastAsia="黑体"/>
          <w:sz w:val="30"/>
          <w:szCs w:val="30"/>
          <w:highlight w:val="none"/>
        </w:rPr>
      </w:pPr>
      <w:r>
        <w:rPr>
          <w:rFonts w:ascii="黑体" w:hAnsi="黑体" w:eastAsia="黑体"/>
          <w:sz w:val="30"/>
          <w:szCs w:val="30"/>
          <w:highlight w:val="none"/>
        </w:rPr>
        <w:br w:type="page"/>
      </w:r>
    </w:p>
    <w:p>
      <w:pPr>
        <w:pStyle w:val="3"/>
        <w:rPr>
          <w:rFonts w:ascii="黑体" w:eastAsia="黑体"/>
          <w:sz w:val="32"/>
          <w:szCs w:val="32"/>
          <w:highlight w:val="none"/>
        </w:rPr>
      </w:pPr>
      <w:r>
        <w:rPr>
          <w:rFonts w:hint="eastAsia" w:ascii="黑体" w:eastAsia="黑体"/>
          <w:sz w:val="32"/>
          <w:szCs w:val="32"/>
          <w:highlight w:val="none"/>
        </w:rPr>
        <w:t>附件五：承诺书</w:t>
      </w:r>
    </w:p>
    <w:p>
      <w:pPr>
        <w:spacing w:line="360" w:lineRule="auto"/>
        <w:jc w:val="center"/>
        <w:rPr>
          <w:rFonts w:ascii="方正小标宋_GBK" w:hAnsi="仿宋" w:eastAsia="方正小标宋_GBK"/>
          <w:b/>
          <w:bCs/>
          <w:sz w:val="44"/>
          <w:szCs w:val="44"/>
          <w:highlight w:val="none"/>
        </w:rPr>
      </w:pPr>
      <w:r>
        <w:rPr>
          <w:rFonts w:hint="eastAsia" w:ascii="方正小标宋_GBK" w:hAnsi="仿宋" w:eastAsia="方正小标宋_GBK"/>
          <w:b/>
          <w:bCs/>
          <w:sz w:val="44"/>
          <w:szCs w:val="44"/>
          <w:highlight w:val="none"/>
        </w:rPr>
        <w:t>承 诺 书</w:t>
      </w:r>
    </w:p>
    <w:p>
      <w:pPr>
        <w:spacing w:line="360" w:lineRule="auto"/>
        <w:jc w:val="center"/>
        <w:rPr>
          <w:rFonts w:ascii="宋体" w:hAnsi="宋体"/>
          <w:b/>
          <w:sz w:val="44"/>
          <w:szCs w:val="21"/>
          <w:highlight w:val="none"/>
        </w:rPr>
      </w:pPr>
    </w:p>
    <w:p>
      <w:pPr>
        <w:spacing w:line="360" w:lineRule="auto"/>
        <w:jc w:val="left"/>
        <w:rPr>
          <w:highlight w:val="none"/>
        </w:rPr>
      </w:pPr>
      <w:r>
        <w:rPr>
          <w:rFonts w:hint="eastAsia" w:ascii="仿宋_GB2312" w:hAnsi="仿宋_GB2312" w:eastAsia="仿宋_GB2312" w:cs="仿宋_GB2312"/>
          <w:sz w:val="32"/>
          <w:szCs w:val="32"/>
          <w:highlight w:val="none"/>
        </w:rPr>
        <w:t>蜀道物流集团筹建工作组</w:t>
      </w:r>
      <w:r>
        <w:rPr>
          <w:rFonts w:hint="eastAsia" w:ascii="仿宋_GB2312" w:hAnsi="仿宋" w:eastAsia="仿宋_GB2312"/>
          <w:sz w:val="32"/>
          <w:szCs w:val="32"/>
          <w:highlight w:val="none"/>
        </w:rPr>
        <w:t>：</w:t>
      </w:r>
    </w:p>
    <w:p>
      <w:pPr>
        <w:adjustRightInd w:val="0"/>
        <w:snapToGrid w:val="0"/>
        <w:spacing w:line="480" w:lineRule="auto"/>
        <w:ind w:firstLine="640" w:firstLineChars="0"/>
        <w:jc w:val="left"/>
        <w:rPr>
          <w:rFonts w:ascii="仿宋_GB2312" w:hAnsi="仿宋" w:eastAsia="仿宋_GB2312"/>
          <w:sz w:val="32"/>
          <w:szCs w:val="32"/>
          <w:highlight w:val="none"/>
        </w:rPr>
      </w:pPr>
      <w:r>
        <w:rPr>
          <w:rFonts w:hint="eastAsia" w:ascii="仿宋_GB2312" w:hAnsi="仿宋" w:eastAsia="仿宋_GB2312"/>
          <w:sz w:val="32"/>
          <w:szCs w:val="32"/>
          <w:highlight w:val="none"/>
        </w:rPr>
        <w:t>本单位自愿参加</w:t>
      </w:r>
      <w:r>
        <w:rPr>
          <w:rFonts w:hint="eastAsia" w:ascii="仿宋_GB2312" w:hAnsi="仿宋" w:eastAsia="仿宋_GB2312"/>
          <w:b w:val="0"/>
          <w:bCs w:val="0"/>
          <w:spacing w:val="0"/>
          <w:sz w:val="32"/>
          <w:szCs w:val="32"/>
          <w:highlight w:val="none"/>
        </w:rPr>
        <w:t>蜀道物流集团专业化整合人力资源咨询服务</w:t>
      </w:r>
      <w:r>
        <w:rPr>
          <w:rFonts w:hint="eastAsia" w:ascii="仿宋_GB2312" w:hAnsi="仿宋" w:eastAsia="仿宋_GB2312"/>
          <w:sz w:val="32"/>
          <w:szCs w:val="32"/>
          <w:highlight w:val="none"/>
        </w:rPr>
        <w:t>中介机构选聘，并保证选聘文件中所列举报价文件及相关资料和公司基本情况资料是真实的、有效的、合法的。为此,本公司承诺如下：</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1.同意选聘文件中的有关规定。</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2.同意提供按照贵方要求的与选聘有关的一切数据、情况和资料等。</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3.本单位如中选，保证按照选聘文件的承诺与贵方签订服务协议。</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4.无论本单位中选或者落选，均保证不向任何第三方泄露本次选聘的相关信息，不向任何第三方披露获得的或收到的任何文件资料及非公开信息。</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5.本单位参与本次选聘申请，保证不存在以下情形：</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（1）提供虚假材料谋取中选；</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（2）采取不正当手段诋毁、排挤其他选聘申请人；</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（3）与其它选聘人申请人恶意串通；</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（4）向选聘人行贿或者提供其他不正当利益；</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（5）拒绝有关部门监督检查或提供虚假情况；</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（6）有其他违规行为。</w:t>
      </w:r>
    </w:p>
    <w:p>
      <w:pPr>
        <w:spacing w:line="360" w:lineRule="auto"/>
        <w:ind w:firstLine="640" w:firstLineChars="200"/>
        <w:jc w:val="left"/>
        <w:rPr>
          <w:rFonts w:ascii="仿宋_GB2312" w:hAnsi="仿宋" w:eastAsia="仿宋_GB2312"/>
          <w:sz w:val="32"/>
          <w:szCs w:val="32"/>
          <w:highlight w:val="none"/>
        </w:rPr>
      </w:pPr>
    </w:p>
    <w:p>
      <w:pPr>
        <w:spacing w:line="360" w:lineRule="auto"/>
        <w:ind w:right="-817" w:rightChars="-389"/>
        <w:rPr>
          <w:rFonts w:ascii="仿宋_GB2312" w:hAnsi="仿宋" w:eastAsia="仿宋_GB2312"/>
          <w:sz w:val="32"/>
          <w:szCs w:val="32"/>
          <w:highlight w:val="none"/>
        </w:rPr>
      </w:pPr>
      <w:r>
        <w:rPr>
          <w:rFonts w:hint="eastAsia" w:ascii="仿宋_GB2312" w:hAnsi="仿宋" w:eastAsia="仿宋_GB2312"/>
          <w:sz w:val="32"/>
          <w:szCs w:val="32"/>
          <w:highlight w:val="none"/>
        </w:rPr>
        <w:t>选聘申请人名称（盖章）：</w:t>
      </w:r>
    </w:p>
    <w:p>
      <w:pPr>
        <w:spacing w:line="360" w:lineRule="auto"/>
        <w:ind w:right="-817" w:rightChars="-389"/>
        <w:rPr>
          <w:rFonts w:ascii="仿宋_GB2312" w:hAnsi="仿宋" w:eastAsia="仿宋_GB2312"/>
          <w:sz w:val="32"/>
          <w:szCs w:val="32"/>
          <w:highlight w:val="none"/>
        </w:rPr>
      </w:pPr>
      <w:r>
        <w:rPr>
          <w:rFonts w:hint="eastAsia" w:ascii="仿宋_GB2312" w:hAnsi="仿宋" w:eastAsia="仿宋_GB2312"/>
          <w:sz w:val="32"/>
          <w:szCs w:val="32"/>
          <w:highlight w:val="none"/>
        </w:rPr>
        <w:t>法定代表人或授权委托人（签字或盖章）：</w:t>
      </w:r>
    </w:p>
    <w:p>
      <w:pPr>
        <w:spacing w:line="360" w:lineRule="auto"/>
        <w:ind w:left="-21" w:leftChars="-10" w:right="-817" w:rightChars="-389" w:firstLine="6294" w:firstLineChars="1967"/>
        <w:rPr>
          <w:rFonts w:ascii="仿宋_GB2312" w:hAnsi="仿宋" w:eastAsia="仿宋_GB2312"/>
          <w:sz w:val="32"/>
          <w:szCs w:val="32"/>
          <w:highlight w:val="none"/>
        </w:rPr>
      </w:pPr>
      <w:r>
        <w:rPr>
          <w:rFonts w:hint="eastAsia" w:ascii="仿宋_GB2312" w:hAnsi="仿宋" w:eastAsia="仿宋_GB2312"/>
          <w:sz w:val="32"/>
          <w:szCs w:val="32"/>
          <w:highlight w:val="none"/>
        </w:rPr>
        <w:t>年   月   日</w:t>
      </w:r>
    </w:p>
    <w:p>
      <w:pPr>
        <w:keepNext/>
        <w:keepLines/>
        <w:tabs>
          <w:tab w:val="left" w:pos="432"/>
          <w:tab w:val="left" w:pos="576"/>
        </w:tabs>
        <w:spacing w:before="260" w:after="260" w:line="360" w:lineRule="auto"/>
        <w:outlineLvl w:val="1"/>
        <w:rPr>
          <w:rFonts w:ascii="宋体" w:hAnsi="宋体" w:eastAsia="黑体"/>
          <w:bCs/>
          <w:sz w:val="28"/>
          <w:szCs w:val="21"/>
          <w:highlight w:val="none"/>
        </w:rPr>
        <w:sectPr>
          <w:headerReference r:id="rId3" w:type="default"/>
          <w:footerReference r:id="rId4" w:type="default"/>
          <w:pgSz w:w="11906" w:h="16838"/>
          <w:pgMar w:top="1440" w:right="1800" w:bottom="1440" w:left="1800" w:header="851" w:footer="992" w:gutter="0"/>
          <w:cols w:space="720" w:num="1"/>
          <w:titlePg/>
          <w:docGrid w:type="lines" w:linePitch="312" w:charSpace="0"/>
        </w:sectPr>
      </w:pPr>
    </w:p>
    <w:p>
      <w:pPr>
        <w:pStyle w:val="3"/>
        <w:rPr>
          <w:rFonts w:ascii="黑体" w:eastAsia="黑体"/>
          <w:sz w:val="32"/>
          <w:szCs w:val="32"/>
          <w:highlight w:val="none"/>
        </w:rPr>
      </w:pPr>
      <w:r>
        <w:rPr>
          <w:rFonts w:hint="eastAsia" w:ascii="黑体" w:eastAsia="黑体"/>
          <w:sz w:val="32"/>
          <w:szCs w:val="32"/>
          <w:highlight w:val="none"/>
        </w:rPr>
        <w:t xml:space="preserve">附件六：保密承诺函 </w:t>
      </w:r>
    </w:p>
    <w:p>
      <w:pPr>
        <w:spacing w:line="360" w:lineRule="auto"/>
        <w:jc w:val="center"/>
        <w:rPr>
          <w:rFonts w:ascii="方正小标宋_GBK" w:hAnsi="仿宋" w:eastAsia="方正小标宋_GBK"/>
          <w:b/>
          <w:bCs/>
          <w:sz w:val="44"/>
          <w:szCs w:val="44"/>
          <w:highlight w:val="none"/>
        </w:rPr>
      </w:pPr>
      <w:r>
        <w:rPr>
          <w:rFonts w:hint="eastAsia" w:ascii="方正小标宋_GBK" w:hAnsi="仿宋" w:eastAsia="方正小标宋_GBK"/>
          <w:b/>
          <w:bCs/>
          <w:sz w:val="44"/>
          <w:szCs w:val="44"/>
          <w:highlight w:val="none"/>
        </w:rPr>
        <w:t>保密承诺函</w:t>
      </w:r>
    </w:p>
    <w:p>
      <w:pPr>
        <w:spacing w:line="360" w:lineRule="auto"/>
        <w:rPr>
          <w:sz w:val="24"/>
          <w:highlight w:val="none"/>
        </w:rPr>
      </w:pP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承诺背景：信息接受方希望从信息披露方获取保密信息，信息接受方承诺根据本函的条款对信息接受方提供信息保密，保密期限自信息接受方签署本函之日起两年。</w:t>
      </w:r>
    </w:p>
    <w:p>
      <w:pPr>
        <w:spacing w:line="360" w:lineRule="auto"/>
        <w:ind w:firstLine="640" w:firstLineChars="200"/>
        <w:rPr>
          <w:rFonts w:ascii="仿宋_GB2312" w:hAnsi="仿宋" w:eastAsia="仿宋_GB2312"/>
          <w:sz w:val="32"/>
          <w:szCs w:val="32"/>
          <w:highlight w:val="none"/>
        </w:rPr>
      </w:pPr>
    </w:p>
    <w:p>
      <w:pPr>
        <w:spacing w:line="360" w:lineRule="auto"/>
        <w:ind w:firstLine="640" w:firstLineChars="200"/>
        <w:rPr>
          <w:rFonts w:ascii="仿宋_GB2312" w:hAnsi="仿宋_GB2312" w:eastAsia="仿宋_GB2312" w:cs="仿宋_GB2312"/>
          <w:sz w:val="32"/>
          <w:szCs w:val="32"/>
          <w:highlight w:val="none"/>
        </w:rPr>
      </w:pPr>
      <w:r>
        <w:rPr>
          <w:rFonts w:hint="eastAsia" w:ascii="仿宋_GB2312" w:hAnsi="仿宋" w:eastAsia="仿宋_GB2312"/>
          <w:sz w:val="32"/>
          <w:szCs w:val="32"/>
          <w:highlight w:val="none"/>
        </w:rPr>
        <w:t>信息披露方：</w:t>
      </w:r>
      <w:r>
        <w:rPr>
          <w:rFonts w:hint="eastAsia" w:ascii="仿宋_GB2312" w:hAnsi="仿宋_GB2312" w:eastAsia="仿宋_GB2312" w:cs="仿宋_GB2312"/>
          <w:sz w:val="32"/>
          <w:szCs w:val="32"/>
          <w:highlight w:val="none"/>
        </w:rPr>
        <w:t>蜀道物流集团筹建工作组</w:t>
      </w:r>
    </w:p>
    <w:p>
      <w:pPr>
        <w:spacing w:line="360" w:lineRule="auto"/>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住所：成都市锦江区三色路银海芯座B栋22楼</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信息接受方：</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 xml:space="preserve">住      所：   </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法定代表人：</w:t>
      </w:r>
    </w:p>
    <w:p>
      <w:pPr>
        <w:spacing w:line="360" w:lineRule="auto"/>
        <w:rPr>
          <w:rFonts w:ascii="仿宋_GB2312" w:hAnsi="仿宋" w:eastAsia="仿宋_GB2312"/>
          <w:sz w:val="32"/>
          <w:szCs w:val="32"/>
          <w:highlight w:val="none"/>
        </w:rPr>
      </w:pP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  定义和解释</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1.1  定义</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以下术语应含有下列含义,除非另有规定:</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保密信息是指:</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ａ)所有由信息披露方提供给信息接受方、其关联方或代表的关于项目目的的口头或书面通信、文件和其他信息(无论是电脑磁盘、可视文件或其他形式)，包括但不限于：(i)与信息披露方和/或项目目的有关的所有资料；(ii)关于涉及项目目的的任何谈判的存在、性质或进度的所有资料;(iii) 信息接受方根据前述资料注解、准备或产生的任何其他文件和资料，或者含有或反映该等资料的文件和资料。</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(b)可能或已经将保密信息提供给信息披露方、其关联方或代表的事实。</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关联方，指直接或(通过一个或多个中间方)间接控制一方，被一方控制或与一方在共同控制之下的人或实体,和关于项目目的而与一方签有协议的任何人或实体。</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代表，指一方或其关联方的任何董事、高级管理人员、员工、融资者或法律顾问、财务顾问、独立审计师或任何其他代理人。</w:t>
      </w:r>
    </w:p>
    <w:p>
      <w:pPr>
        <w:spacing w:line="360" w:lineRule="auto"/>
        <w:ind w:firstLine="640" w:firstLineChars="200"/>
        <w:rPr>
          <w:rFonts w:ascii="仿宋_GB2312" w:hAnsi="仿宋" w:eastAsia="仿宋_GB2312"/>
          <w:sz w:val="32"/>
          <w:szCs w:val="32"/>
          <w:highlight w:val="none"/>
        </w:rPr>
      </w:pP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1.2  解释</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除非有相反的意思表示,本函中:</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（ａ）文件包括任何草图、说明、材料、记录及其他可以储存或复制保密信息的方式；</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（b）任何事物(包括任何权利)应包括其中的任何一部分;</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（c）一组人或事物指两个或多个人或事物的集合体或其中的任意一个；</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（d）词语“包括”并不包含“仅限于”的含义;</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（e）同意/许可指事先书面同意或许可；</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ascii="仿宋_GB2312" w:hAnsi="仿宋" w:eastAsia="仿宋_GB2312"/>
          <w:sz w:val="32"/>
          <w:szCs w:val="32"/>
          <w:highlight w:val="none"/>
        </w:rPr>
        <w:t>f</w:t>
      </w:r>
      <w:r>
        <w:rPr>
          <w:rFonts w:hint="eastAsia" w:ascii="仿宋_GB2312" w:hAnsi="仿宋" w:eastAsia="仿宋_GB2312"/>
          <w:sz w:val="32"/>
          <w:szCs w:val="32"/>
          <w:highlight w:val="none"/>
        </w:rPr>
        <w:t>）控制是指如果一个实体在另一实体中直接或间接拥有的股份数量（或股权比例）代表了后者百分之五十(50%)或以上的投票权、或使前者可享有后者百分之五十(50%)或以上的收入，或使前者在后者清算时可以获得后者百分之五十(50%)或以上的资产，后者应被视为被前者所控制。</w:t>
      </w:r>
    </w:p>
    <w:p>
      <w:pPr>
        <w:spacing w:line="360" w:lineRule="auto"/>
        <w:ind w:firstLine="640" w:firstLineChars="200"/>
        <w:rPr>
          <w:rFonts w:ascii="仿宋_GB2312" w:hAnsi="仿宋" w:eastAsia="仿宋_GB2312"/>
          <w:sz w:val="32"/>
          <w:szCs w:val="32"/>
          <w:highlight w:val="none"/>
        </w:rPr>
      </w:pP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  保密</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2.1  保密信息处理</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未经信息披露方的许可，信息接受方不得:</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（a）披露或公布保密信息;</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（b）除为项目目的外,以任何形式复制包含了、基于或使用了保密信息的任何文件或记录的任何部分。</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2.2  保密信息所有权</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所有向信息接受方披露的保密信息均归信息披露方所有。</w:t>
      </w:r>
    </w:p>
    <w:p>
      <w:pPr>
        <w:spacing w:line="360" w:lineRule="auto"/>
        <w:ind w:firstLine="640" w:firstLineChars="200"/>
        <w:rPr>
          <w:rFonts w:ascii="仿宋_GB2312" w:hAnsi="仿宋" w:eastAsia="仿宋_GB2312"/>
          <w:sz w:val="32"/>
          <w:szCs w:val="32"/>
          <w:highlight w:val="none"/>
        </w:rPr>
      </w:pP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3.  允许的使用和披露</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3.1  为项目目的而使用</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信息接受方及其关联方只能为项目目的而使用保密信息。</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3.2  在文件中加入保密信息</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信息披露方、其关联方可以为项目目的而准备文件中加入部分保密信息。</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3.3  披露</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信息接受方可以为项目目的向其关联方和其代表披露保密信息，在作披露前，信息接受方应当确保：</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（a）其关联方或代表为项目目的而有获取保密信息的特定需要;</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（b）已经告知并促使其关联方或代表承担对信息披露方的保密责任。</w:t>
      </w:r>
    </w:p>
    <w:p>
      <w:pPr>
        <w:spacing w:line="360" w:lineRule="auto"/>
        <w:ind w:firstLine="640" w:firstLineChars="200"/>
        <w:rPr>
          <w:rFonts w:ascii="仿宋_GB2312" w:hAnsi="仿宋" w:eastAsia="仿宋_GB2312"/>
          <w:sz w:val="32"/>
          <w:szCs w:val="32"/>
          <w:highlight w:val="none"/>
        </w:rPr>
      </w:pP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4.  限制</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4.1  本函的规定不适用于下述的保密信息:</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(ａ)已存在公共领域的信息，但因信息接受方违反本函而存在于公共领域的信息除外;</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（b）信息接受方在保密信息披露时已经获悉的信息,但信息披露方此前向其披露的保密信息除外，或者信息接受方知悉任何其他人违反保密义务而造成信息接受方知晓该保密信息的除外；</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（c）信息接受方以非保密形式从第三方获得的信息，但信息接受方应当提供第三方证明文件证明其与第三方未签署过任何保密协议;</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（d）应法律要求或任何法院、仲裁庭、政府、管理机构或股票交易市场的要求而披露的信息，但信息接受方应当提供政府机关或管理机构要求披露的相关文件；</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（e）信息接受方、其关联方或代表,在没有依赖保密信息之情况下,所独立开发的信息，但信息接受方应当提供内部资料证明该等信息是其独立开发的。</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4.2  如果信息接受方由于任何法律要求或任何法院、仲裁庭、政府、管理机构或股票交易市场的要求或请求，需要披露任何保密信息，信息接受方应：(i)在合理可行的情况下尽快书面通知信息披露方此情况和被要求或被请求披露的范围；(ii)在合理可行的程度上与信息披露方合作，在披露之时或以后保护被披露资料的保密性。</w:t>
      </w:r>
    </w:p>
    <w:p>
      <w:pPr>
        <w:spacing w:line="360" w:lineRule="auto"/>
        <w:ind w:firstLine="640" w:firstLineChars="200"/>
        <w:rPr>
          <w:rFonts w:ascii="仿宋_GB2312" w:hAnsi="仿宋" w:eastAsia="仿宋_GB2312"/>
          <w:sz w:val="32"/>
          <w:szCs w:val="32"/>
          <w:highlight w:val="none"/>
        </w:rPr>
      </w:pP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5.  归还保密信息</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5.1  归还或销毁</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应信息披露方的要求，信息接受方应当并促使其关联方或代表:</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(ａ)向信息披露方归还或销毁所有包含保密信息的文件、所有第3.2条中规定的文件以及前述文件的所有副本;</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（b）从电子存储设备中删除所有的保密信息,包括与其他任何信息结合在一起的保密信息。</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5.2  不解除</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信息披露方根据第5.1而采取的任何行动均不能免除信息接受方及其关联方和代表在本函项下的义务。</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6.  其他</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6.1  适用法律</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本函应根据中华人民共和国法律解释并受其管辖。因本函而产生的主张或争议应提交成都仲裁委员会根据其现时有效的仲裁规则在成都通过仲裁解决。仲裁裁决是终局的，对双方均有约束力，并可在任何有管辖权的法院执行该仲裁裁决。</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6.2  修订</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本函一经信息接收方盖章发出即不可撤销、不可修改。</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6.</w:t>
      </w:r>
      <w:r>
        <w:rPr>
          <w:rFonts w:ascii="仿宋_GB2312" w:hAnsi="仿宋" w:eastAsia="仿宋_GB2312"/>
          <w:sz w:val="32"/>
          <w:szCs w:val="32"/>
          <w:highlight w:val="none"/>
        </w:rPr>
        <w:t>3</w:t>
      </w:r>
      <w:r>
        <w:rPr>
          <w:rFonts w:hint="eastAsia" w:ascii="仿宋_GB2312" w:hAnsi="仿宋" w:eastAsia="仿宋_GB2312"/>
          <w:sz w:val="32"/>
          <w:szCs w:val="32"/>
          <w:highlight w:val="none"/>
        </w:rPr>
        <w:t xml:space="preserve">  生效</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本函一经信息接收方盖章即生效。</w:t>
      </w:r>
    </w:p>
    <w:p>
      <w:pPr>
        <w:spacing w:line="360" w:lineRule="auto"/>
        <w:rPr>
          <w:rFonts w:ascii="仿宋_GB2312" w:hAnsi="仿宋" w:eastAsia="仿宋_GB2312"/>
          <w:sz w:val="32"/>
          <w:szCs w:val="32"/>
          <w:highlight w:val="none"/>
        </w:rPr>
      </w:pP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信息接收方：（公章）</w:t>
      </w:r>
    </w:p>
    <w:p>
      <w:pPr>
        <w:spacing w:line="360" w:lineRule="auto"/>
        <w:rPr>
          <w:rFonts w:ascii="黑体" w:eastAsia="黑体"/>
          <w:sz w:val="32"/>
          <w:szCs w:val="32"/>
          <w:highlight w:val="none"/>
        </w:rPr>
      </w:pPr>
      <w:r>
        <w:rPr>
          <w:rFonts w:hint="eastAsia" w:ascii="仿宋_GB2312" w:hAnsi="仿宋" w:eastAsia="仿宋_GB2312"/>
          <w:sz w:val="32"/>
          <w:szCs w:val="32"/>
          <w:highlight w:val="none"/>
        </w:rPr>
        <w:t>签署时间:   年  月  日</w:t>
      </w:r>
      <w:bookmarkStart w:id="14" w:name="_Toc448516849"/>
      <w:bookmarkStart w:id="15" w:name="_Toc1301431"/>
    </w:p>
    <w:p>
      <w:pPr>
        <w:pStyle w:val="3"/>
        <w:rPr>
          <w:rFonts w:ascii="黑体" w:eastAsia="黑体"/>
          <w:sz w:val="32"/>
          <w:szCs w:val="32"/>
          <w:highlight w:val="none"/>
        </w:rPr>
      </w:pPr>
      <w:r>
        <w:rPr>
          <w:rFonts w:hint="eastAsia" w:ascii="黑体" w:eastAsia="黑体"/>
          <w:sz w:val="32"/>
          <w:szCs w:val="32"/>
          <w:highlight w:val="none"/>
        </w:rPr>
        <w:t>附件七：评审标准</w:t>
      </w:r>
      <w:bookmarkEnd w:id="14"/>
      <w:bookmarkEnd w:id="15"/>
    </w:p>
    <w:p>
      <w:pPr>
        <w:spacing w:line="360" w:lineRule="auto"/>
        <w:jc w:val="center"/>
        <w:rPr>
          <w:rFonts w:ascii="方正小标宋_GBK" w:hAnsi="仿宋" w:eastAsia="方正小标宋_GBK"/>
          <w:bCs/>
          <w:sz w:val="44"/>
          <w:szCs w:val="44"/>
          <w:highlight w:val="none"/>
        </w:rPr>
      </w:pPr>
      <w:r>
        <w:rPr>
          <w:rFonts w:hint="eastAsia" w:ascii="方正小标宋_GBK" w:hAnsi="仿宋" w:eastAsia="方正小标宋_GBK"/>
          <w:b/>
          <w:bCs/>
          <w:sz w:val="44"/>
          <w:szCs w:val="44"/>
          <w:highlight w:val="none"/>
        </w:rPr>
        <w:t>比选评审办法</w:t>
      </w:r>
    </w:p>
    <w:p>
      <w:pPr>
        <w:spacing w:before="120" w:beforeLines="50" w:line="360" w:lineRule="auto"/>
        <w:ind w:firstLine="640" w:firstLineChars="200"/>
        <w:rPr>
          <w:rFonts w:ascii="黑体" w:hAnsi="黑体" w:eastAsia="黑体"/>
          <w:sz w:val="32"/>
          <w:szCs w:val="32"/>
          <w:highlight w:val="none"/>
        </w:rPr>
      </w:pPr>
      <w:r>
        <w:rPr>
          <w:rFonts w:hint="eastAsia" w:ascii="黑体" w:hAnsi="黑体" w:eastAsia="黑体"/>
          <w:sz w:val="32"/>
          <w:szCs w:val="32"/>
          <w:highlight w:val="none"/>
        </w:rPr>
        <w:t>一、比选人组建评审组</w:t>
      </w:r>
    </w:p>
    <w:p>
      <w:pPr>
        <w:spacing w:before="120"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评审组由5人或5人以上单数组成。</w:t>
      </w:r>
    </w:p>
    <w:p>
      <w:pPr>
        <w:spacing w:before="120" w:beforeLines="50" w:line="360" w:lineRule="auto"/>
        <w:ind w:firstLine="640" w:firstLineChars="200"/>
        <w:rPr>
          <w:rFonts w:ascii="黑体" w:hAnsi="黑体" w:eastAsia="黑体"/>
          <w:sz w:val="32"/>
          <w:szCs w:val="32"/>
          <w:highlight w:val="none"/>
        </w:rPr>
      </w:pPr>
      <w:bookmarkStart w:id="16" w:name="_Ref77046541"/>
      <w:r>
        <w:rPr>
          <w:rFonts w:hint="eastAsia" w:ascii="黑体" w:hAnsi="黑体" w:eastAsia="黑体"/>
          <w:sz w:val="32"/>
          <w:szCs w:val="32"/>
          <w:highlight w:val="none"/>
        </w:rPr>
        <w:t>二、比选响应文件的资格条件核实</w:t>
      </w:r>
    </w:p>
    <w:p>
      <w:pPr>
        <w:spacing w:before="120"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评审组将审查比选响应人是否有资格圆满地履行合同，如果比选响应人被确定为无资格履行合同，其比选响应文件将被拒绝。</w:t>
      </w:r>
    </w:p>
    <w:p>
      <w:pPr>
        <w:spacing w:before="120"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审查将根据比选响应人按规定提交的资格证明文件进行审查。</w:t>
      </w:r>
    </w:p>
    <w:p>
      <w:pPr>
        <w:spacing w:before="120" w:beforeLines="50" w:line="360" w:lineRule="auto"/>
        <w:ind w:firstLine="640" w:firstLineChars="200"/>
        <w:rPr>
          <w:rFonts w:ascii="黑体" w:hAnsi="黑体" w:eastAsia="黑体"/>
          <w:sz w:val="32"/>
          <w:szCs w:val="32"/>
          <w:highlight w:val="none"/>
        </w:rPr>
      </w:pPr>
      <w:r>
        <w:rPr>
          <w:rFonts w:hint="eastAsia" w:ascii="黑体" w:hAnsi="黑体" w:eastAsia="黑体"/>
          <w:sz w:val="32"/>
          <w:szCs w:val="32"/>
          <w:highlight w:val="none"/>
        </w:rPr>
        <w:t>三、比选响应文件的</w:t>
      </w:r>
      <w:bookmarkEnd w:id="16"/>
      <w:r>
        <w:rPr>
          <w:rFonts w:hint="eastAsia" w:ascii="黑体" w:hAnsi="黑体" w:eastAsia="黑体"/>
          <w:sz w:val="32"/>
          <w:szCs w:val="32"/>
          <w:highlight w:val="none"/>
        </w:rPr>
        <w:t>初步评审</w:t>
      </w:r>
    </w:p>
    <w:p>
      <w:pPr>
        <w:spacing w:before="120"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在详细审查之前，评审组要审查每份比选响应书是否实质上响应了比选文件的要求，是否存在重大偏差。</w:t>
      </w:r>
    </w:p>
    <w:p>
      <w:pPr>
        <w:spacing w:before="120"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下列情况属于重大偏差：</w:t>
      </w:r>
    </w:p>
    <w:p>
      <w:pPr>
        <w:tabs>
          <w:tab w:val="left" w:pos="482"/>
        </w:tabs>
        <w:spacing w:before="120"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（一）未按比选文件要求加盖单位公章或法定代表人（或授权代表）未签字；</w:t>
      </w:r>
    </w:p>
    <w:p>
      <w:pPr>
        <w:spacing w:before="120"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（二）授权委托书未满足比选文件的要求；</w:t>
      </w:r>
    </w:p>
    <w:p>
      <w:pPr>
        <w:spacing w:before="120"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授权委托书相关要求如下：</w:t>
      </w:r>
    </w:p>
    <w:p>
      <w:pPr>
        <w:spacing w:before="120"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1.本授权书在投标人代表不是投标人法定代表人时办理，如由投标人法定代表人亲自签署投标文件并参与投标相关活动，则不需办理本授权书。</w:t>
      </w:r>
      <w:r>
        <w:rPr>
          <w:rFonts w:hint="eastAsia" w:ascii="仿宋_GB2312" w:hAnsi="仿宋" w:eastAsia="仿宋_GB2312"/>
          <w:sz w:val="32"/>
          <w:szCs w:val="32"/>
          <w:highlight w:val="none"/>
        </w:rPr>
        <w:cr/>
      </w:r>
      <w:r>
        <w:rPr>
          <w:rFonts w:hint="eastAsia" w:ascii="仿宋_GB2312" w:hAnsi="仿宋"/>
          <w:sz w:val="30"/>
          <w:szCs w:val="30"/>
          <w:highlight w:val="none"/>
        </w:rPr>
        <w:t xml:space="preserve">   </w:t>
      </w:r>
      <w:r>
        <w:rPr>
          <w:rFonts w:hint="eastAsia" w:ascii="仿宋_GB2312" w:hAnsi="仿宋" w:eastAsia="仿宋_GB2312"/>
          <w:sz w:val="32"/>
          <w:szCs w:val="32"/>
          <w:highlight w:val="none"/>
        </w:rPr>
        <w:t xml:space="preserve"> 2.如果有委托代理人的，应同时附法定代表人身份证明、授权委托书。否则不通过其初步评审。</w:t>
      </w:r>
      <w:r>
        <w:rPr>
          <w:rFonts w:hint="eastAsia" w:ascii="仿宋_GB2312" w:hAnsi="仿宋" w:eastAsia="仿宋_GB2312"/>
          <w:sz w:val="32"/>
          <w:szCs w:val="32"/>
          <w:highlight w:val="none"/>
        </w:rPr>
        <w:cr/>
      </w:r>
      <w:r>
        <w:rPr>
          <w:rFonts w:hint="eastAsia" w:ascii="仿宋_GB2312" w:hAnsi="仿宋" w:eastAsia="仿宋_GB2312"/>
          <w:sz w:val="32"/>
          <w:szCs w:val="32"/>
          <w:highlight w:val="none"/>
        </w:rPr>
        <w:t xml:space="preserve">    3.委托代理人只能是一个人，且不能再授予他人，否则招标人将认为其授权无效。</w:t>
      </w:r>
      <w:r>
        <w:rPr>
          <w:rFonts w:hint="eastAsia" w:ascii="仿宋_GB2312" w:hAnsi="仿宋" w:eastAsia="仿宋_GB2312"/>
          <w:sz w:val="32"/>
          <w:szCs w:val="32"/>
          <w:highlight w:val="none"/>
        </w:rPr>
        <w:cr/>
      </w:r>
      <w:r>
        <w:rPr>
          <w:rFonts w:hint="eastAsia" w:ascii="仿宋_GB2312" w:hAnsi="仿宋" w:eastAsia="仿宋_GB2312"/>
          <w:sz w:val="32"/>
          <w:szCs w:val="32"/>
          <w:highlight w:val="none"/>
        </w:rPr>
        <w:t xml:space="preserve">    4.投标人法定代表人授权书应加盖投标人公章，授权人和委托代理人均须在授权书上签字，不得使用签名章代替。    </w:t>
      </w:r>
    </w:p>
    <w:p>
      <w:pPr>
        <w:spacing w:before="120"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5.授权书后须附授权人和委托代理人身份证影印件，并保证清晰有效。</w:t>
      </w:r>
    </w:p>
    <w:p>
      <w:pPr>
        <w:spacing w:before="120"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（三）比选响应人未按规定的格式填写，内容不完整或关键字迹模糊、无法辨认的；</w:t>
      </w:r>
    </w:p>
    <w:p>
      <w:pPr>
        <w:spacing w:before="120"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（四）比选响应人递交两份或多份内容不同的比选响应文件，或在一份比选响应文件中对同一比选响应范围报有两个或多个报价，且未声明哪一个为最终报价的；</w:t>
      </w:r>
    </w:p>
    <w:p>
      <w:pPr>
        <w:spacing w:before="120"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 xml:space="preserve">（五）比选报价明显偏低（即比选报价小于或等于通过资格审查的所有比选响应人算术平均报价的60％）； </w:t>
      </w:r>
    </w:p>
    <w:p>
      <w:pPr>
        <w:spacing w:before="120"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 xml:space="preserve">（六）比选报价明显偏高（即比选报价大于或等于通过资格审查的所有比选响应人算术平均报价的140％）； </w:t>
      </w:r>
    </w:p>
    <w:p>
      <w:pPr>
        <w:spacing w:before="120"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（七）不符合比选文件及相关法律法规中规定的其它实质性要求。</w:t>
      </w:r>
    </w:p>
    <w:p>
      <w:pPr>
        <w:spacing w:before="120"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如果比选响应文件存在上述重大偏差，比选人将予以拒绝或作为无效比选响应文件处理。递交比选响应文件后，比选响应人不得通过修正从而使其未完全响应文件成为实际上完全响应的比选响应文件。</w:t>
      </w:r>
    </w:p>
    <w:p>
      <w:pPr>
        <w:spacing w:before="120" w:beforeLines="50" w:line="360" w:lineRule="auto"/>
        <w:ind w:firstLine="640" w:firstLineChars="200"/>
        <w:rPr>
          <w:rFonts w:ascii="黑体" w:hAnsi="黑体" w:eastAsia="黑体"/>
          <w:sz w:val="32"/>
          <w:szCs w:val="32"/>
          <w:highlight w:val="none"/>
        </w:rPr>
      </w:pPr>
      <w:r>
        <w:rPr>
          <w:rFonts w:hint="eastAsia" w:ascii="黑体" w:hAnsi="黑体" w:eastAsia="黑体"/>
          <w:sz w:val="32"/>
          <w:szCs w:val="32"/>
          <w:highlight w:val="none"/>
        </w:rPr>
        <w:t>四、比选响应文件的详细评审</w:t>
      </w:r>
    </w:p>
    <w:p>
      <w:pPr>
        <w:spacing w:before="120"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（一）评审组成员只能按以下确定的评分项目、内容、要求进行评分，不能另行列项，否则视为废票；</w:t>
      </w:r>
    </w:p>
    <w:p>
      <w:pPr>
        <w:spacing w:before="120"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（二）评分由评审组成员在充分讨论、沟通的基础上，各自独立进行；</w:t>
      </w:r>
    </w:p>
    <w:p>
      <w:pPr>
        <w:spacing w:before="120"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评分以记名方式进行；</w:t>
      </w:r>
    </w:p>
    <w:p>
      <w:pPr>
        <w:spacing w:before="120"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（三）比选采用综合评分法。满分为100分。</w:t>
      </w:r>
    </w:p>
    <w:p>
      <w:pPr>
        <w:spacing w:before="120" w:beforeLines="50" w:line="300" w:lineRule="auto"/>
        <w:jc w:val="center"/>
        <w:rPr>
          <w:rFonts w:ascii="仿宋_GB2312" w:hAnsi="仿宋" w:eastAsia="仿宋_GB2312"/>
          <w:sz w:val="32"/>
          <w:szCs w:val="32"/>
          <w:highlight w:val="none"/>
        </w:rPr>
      </w:pPr>
      <w:bookmarkStart w:id="17" w:name="_Hlk1404446"/>
      <w:r>
        <w:rPr>
          <w:rFonts w:hint="eastAsia" w:ascii="仿宋_GB2312" w:hAnsi="仿宋_GB2312" w:eastAsia="仿宋_GB2312" w:cs="仿宋_GB2312"/>
          <w:sz w:val="32"/>
          <w:szCs w:val="32"/>
          <w:highlight w:val="none"/>
        </w:rPr>
        <w:t>蜀道物流集团筹建工作组</w:t>
      </w:r>
      <w:r>
        <w:rPr>
          <w:rFonts w:hint="eastAsia" w:ascii="仿宋_GB2312" w:hAnsi="仿宋" w:eastAsia="仿宋_GB2312"/>
          <w:sz w:val="32"/>
          <w:szCs w:val="32"/>
          <w:highlight w:val="none"/>
        </w:rPr>
        <w:t>咨询服务机构评估标准</w:t>
      </w:r>
      <w:bookmarkEnd w:id="17"/>
    </w:p>
    <w:tbl>
      <w:tblPr>
        <w:tblStyle w:val="12"/>
        <w:tblW w:w="8931" w:type="dxa"/>
        <w:tblInd w:w="-147" w:type="dxa"/>
        <w:tblLayout w:type="fixed"/>
        <w:tblCellMar>
          <w:top w:w="0" w:type="dxa"/>
          <w:left w:w="108" w:type="dxa"/>
          <w:bottom w:w="0" w:type="dxa"/>
          <w:right w:w="108" w:type="dxa"/>
        </w:tblCellMar>
      </w:tblPr>
      <w:tblGrid>
        <w:gridCol w:w="1243"/>
        <w:gridCol w:w="1048"/>
        <w:gridCol w:w="1210"/>
        <w:gridCol w:w="3675"/>
        <w:gridCol w:w="990"/>
        <w:gridCol w:w="765"/>
      </w:tblGrid>
      <w:tr>
        <w:tblPrEx>
          <w:tblCellMar>
            <w:top w:w="0" w:type="dxa"/>
            <w:left w:w="108" w:type="dxa"/>
            <w:bottom w:w="0" w:type="dxa"/>
            <w:right w:w="108" w:type="dxa"/>
          </w:tblCellMar>
        </w:tblPrEx>
        <w:trPr>
          <w:trHeight w:val="576" w:hRule="atLeast"/>
        </w:trPr>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评分内容</w:t>
            </w:r>
          </w:p>
        </w:tc>
        <w:tc>
          <w:tcPr>
            <w:tcW w:w="104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序号</w:t>
            </w:r>
          </w:p>
        </w:tc>
        <w:tc>
          <w:tcPr>
            <w:tcW w:w="121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项目名称</w:t>
            </w:r>
          </w:p>
        </w:tc>
        <w:tc>
          <w:tcPr>
            <w:tcW w:w="36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评分依据</w:t>
            </w:r>
          </w:p>
        </w:tc>
        <w:tc>
          <w:tcPr>
            <w:tcW w:w="9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分值</w:t>
            </w:r>
          </w:p>
        </w:tc>
        <w:tc>
          <w:tcPr>
            <w:tcW w:w="76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评分</w:t>
            </w:r>
          </w:p>
        </w:tc>
      </w:tr>
      <w:tr>
        <w:tblPrEx>
          <w:tblCellMar>
            <w:top w:w="0" w:type="dxa"/>
            <w:left w:w="108" w:type="dxa"/>
            <w:bottom w:w="0" w:type="dxa"/>
            <w:right w:w="108" w:type="dxa"/>
          </w:tblCellMar>
        </w:tblPrEx>
        <w:trPr>
          <w:trHeight w:val="576" w:hRule="atLeast"/>
        </w:trPr>
        <w:tc>
          <w:tcPr>
            <w:tcW w:w="12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综合评分</w:t>
            </w:r>
          </w:p>
        </w:tc>
        <w:tc>
          <w:tcPr>
            <w:tcW w:w="104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1、质量（65分）</w:t>
            </w:r>
          </w:p>
        </w:tc>
        <w:tc>
          <w:tcPr>
            <w:tcW w:w="12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质量控制水平</w:t>
            </w:r>
          </w:p>
        </w:tc>
        <w:tc>
          <w:tcPr>
            <w:tcW w:w="367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1、项目服务经验</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highlight w:val="none"/>
              </w:rPr>
            </w:pPr>
            <w:r>
              <w:rPr>
                <w:rFonts w:ascii="仿宋" w:hAnsi="仿宋" w:eastAsia="仿宋" w:cs="宋体"/>
                <w:b/>
                <w:bCs/>
                <w:color w:val="000000"/>
                <w:kern w:val="0"/>
                <w:sz w:val="22"/>
                <w:szCs w:val="22"/>
                <w:highlight w:val="none"/>
              </w:rPr>
              <w:t>15</w:t>
            </w:r>
          </w:p>
        </w:tc>
        <w:tc>
          <w:tcPr>
            <w:tcW w:w="76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1343" w:hRule="atLeast"/>
        </w:trPr>
        <w:tc>
          <w:tcPr>
            <w:tcW w:w="124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04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2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675"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满足文件要求得</w:t>
            </w:r>
            <w:r>
              <w:rPr>
                <w:rFonts w:ascii="仿宋" w:hAnsi="仿宋" w:eastAsia="仿宋" w:cs="宋体"/>
                <w:color w:val="000000"/>
                <w:kern w:val="0"/>
                <w:sz w:val="22"/>
                <w:szCs w:val="22"/>
                <w:highlight w:val="none"/>
              </w:rPr>
              <w:t>3</w:t>
            </w:r>
            <w:r>
              <w:rPr>
                <w:rFonts w:hint="eastAsia" w:ascii="仿宋" w:hAnsi="仿宋" w:eastAsia="仿宋" w:cs="宋体"/>
                <w:color w:val="000000"/>
                <w:kern w:val="0"/>
                <w:sz w:val="22"/>
                <w:szCs w:val="22"/>
                <w:highlight w:val="none"/>
              </w:rPr>
              <w:t>分，每增加一个交通系统公司人力资源咨询项目加</w:t>
            </w:r>
            <w:r>
              <w:rPr>
                <w:rFonts w:ascii="仿宋" w:hAnsi="仿宋" w:eastAsia="仿宋" w:cs="宋体"/>
                <w:color w:val="000000"/>
                <w:kern w:val="0"/>
                <w:sz w:val="22"/>
                <w:szCs w:val="22"/>
                <w:highlight w:val="none"/>
              </w:rPr>
              <w:t>2</w:t>
            </w:r>
            <w:r>
              <w:rPr>
                <w:rFonts w:hint="eastAsia" w:ascii="仿宋" w:hAnsi="仿宋" w:eastAsia="仿宋" w:cs="宋体"/>
                <w:color w:val="000000"/>
                <w:kern w:val="0"/>
                <w:sz w:val="22"/>
                <w:szCs w:val="22"/>
                <w:highlight w:val="none"/>
              </w:rPr>
              <w:t>分，此项最高得1</w:t>
            </w:r>
            <w:r>
              <w:rPr>
                <w:rFonts w:ascii="仿宋" w:hAnsi="仿宋" w:eastAsia="仿宋" w:cs="宋体"/>
                <w:color w:val="000000"/>
                <w:kern w:val="0"/>
                <w:sz w:val="22"/>
                <w:szCs w:val="22"/>
                <w:highlight w:val="none"/>
              </w:rPr>
              <w:t>5</w:t>
            </w:r>
            <w:r>
              <w:rPr>
                <w:rFonts w:hint="eastAsia" w:ascii="仿宋" w:hAnsi="仿宋" w:eastAsia="仿宋" w:cs="宋体"/>
                <w:color w:val="000000"/>
                <w:kern w:val="0"/>
                <w:sz w:val="22"/>
                <w:szCs w:val="22"/>
                <w:highlight w:val="none"/>
              </w:rPr>
              <w:t>分。</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ascii="仿宋" w:hAnsi="仿宋" w:eastAsia="仿宋" w:cs="宋体"/>
                <w:color w:val="000000"/>
                <w:kern w:val="0"/>
                <w:sz w:val="22"/>
                <w:szCs w:val="22"/>
                <w:highlight w:val="none"/>
              </w:rPr>
              <w:t>15</w:t>
            </w:r>
          </w:p>
        </w:tc>
        <w:tc>
          <w:tcPr>
            <w:tcW w:w="76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24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04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2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67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2、项目现场负责人从业经验</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highlight w:val="none"/>
              </w:rPr>
            </w:pPr>
            <w:r>
              <w:rPr>
                <w:rFonts w:ascii="仿宋" w:hAnsi="仿宋" w:eastAsia="仿宋" w:cs="宋体"/>
                <w:b/>
                <w:bCs/>
                <w:color w:val="000000"/>
                <w:kern w:val="0"/>
                <w:sz w:val="22"/>
                <w:szCs w:val="22"/>
                <w:highlight w:val="none"/>
              </w:rPr>
              <w:t>1</w:t>
            </w:r>
            <w:r>
              <w:rPr>
                <w:rFonts w:hint="eastAsia" w:ascii="仿宋" w:hAnsi="仿宋" w:eastAsia="仿宋" w:cs="宋体"/>
                <w:b/>
                <w:bCs/>
                <w:color w:val="000000"/>
                <w:kern w:val="0"/>
                <w:sz w:val="22"/>
                <w:szCs w:val="22"/>
                <w:highlight w:val="none"/>
              </w:rPr>
              <w:t>5</w:t>
            </w:r>
          </w:p>
        </w:tc>
        <w:tc>
          <w:tcPr>
            <w:tcW w:w="76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24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04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2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67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在1个四川省国有企业人力资源咨询项目中担任过项目负责人得</w:t>
            </w:r>
            <w:r>
              <w:rPr>
                <w:rFonts w:ascii="仿宋" w:hAnsi="仿宋" w:eastAsia="仿宋" w:cs="宋体"/>
                <w:color w:val="000000"/>
                <w:kern w:val="0"/>
                <w:sz w:val="22"/>
                <w:szCs w:val="22"/>
                <w:highlight w:val="none"/>
              </w:rPr>
              <w:t>3</w:t>
            </w:r>
            <w:r>
              <w:rPr>
                <w:rFonts w:hint="eastAsia" w:ascii="仿宋" w:hAnsi="仿宋" w:eastAsia="仿宋" w:cs="宋体"/>
                <w:color w:val="000000"/>
                <w:kern w:val="0"/>
                <w:sz w:val="22"/>
                <w:szCs w:val="22"/>
                <w:highlight w:val="none"/>
              </w:rPr>
              <w:t>分，每增加一个类似业绩加</w:t>
            </w:r>
            <w:r>
              <w:rPr>
                <w:rFonts w:ascii="仿宋" w:hAnsi="仿宋" w:eastAsia="仿宋" w:cs="宋体"/>
                <w:color w:val="000000"/>
                <w:kern w:val="0"/>
                <w:sz w:val="22"/>
                <w:szCs w:val="22"/>
                <w:highlight w:val="none"/>
              </w:rPr>
              <w:t>2</w:t>
            </w:r>
            <w:r>
              <w:rPr>
                <w:rFonts w:hint="eastAsia" w:ascii="仿宋" w:hAnsi="仿宋" w:eastAsia="仿宋" w:cs="宋体"/>
                <w:color w:val="000000"/>
                <w:kern w:val="0"/>
                <w:sz w:val="22"/>
                <w:szCs w:val="22"/>
                <w:highlight w:val="none"/>
              </w:rPr>
              <w:t>分，此项最高得1</w:t>
            </w:r>
            <w:r>
              <w:rPr>
                <w:rFonts w:ascii="仿宋" w:hAnsi="仿宋" w:eastAsia="仿宋" w:cs="宋体"/>
                <w:color w:val="000000"/>
                <w:kern w:val="0"/>
                <w:sz w:val="22"/>
                <w:szCs w:val="22"/>
                <w:highlight w:val="none"/>
              </w:rPr>
              <w:t>5</w:t>
            </w:r>
            <w:r>
              <w:rPr>
                <w:rFonts w:hint="eastAsia" w:ascii="仿宋" w:hAnsi="仿宋" w:eastAsia="仿宋" w:cs="宋体"/>
                <w:color w:val="000000"/>
                <w:kern w:val="0"/>
                <w:sz w:val="22"/>
                <w:szCs w:val="22"/>
                <w:highlight w:val="none"/>
              </w:rPr>
              <w:t>分。</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ascii="仿宋" w:hAnsi="仿宋" w:eastAsia="仿宋" w:cs="宋体"/>
                <w:color w:val="000000"/>
                <w:kern w:val="0"/>
                <w:sz w:val="22"/>
                <w:szCs w:val="22"/>
                <w:highlight w:val="none"/>
              </w:rPr>
              <w:t>1</w:t>
            </w:r>
            <w:r>
              <w:rPr>
                <w:rFonts w:hint="eastAsia" w:ascii="仿宋" w:hAnsi="仿宋" w:eastAsia="仿宋" w:cs="宋体"/>
                <w:color w:val="000000"/>
                <w:kern w:val="0"/>
                <w:sz w:val="22"/>
                <w:szCs w:val="22"/>
                <w:highlight w:val="none"/>
              </w:rPr>
              <w:t>5</w:t>
            </w:r>
          </w:p>
        </w:tc>
        <w:tc>
          <w:tcPr>
            <w:tcW w:w="76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24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04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2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67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3、项目现场其他人员的从业经验</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5</w:t>
            </w:r>
          </w:p>
        </w:tc>
        <w:tc>
          <w:tcPr>
            <w:tcW w:w="76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24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04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2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675"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（1）现场人员有3个以上及蜀道系统业绩得5分</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5</w:t>
            </w:r>
          </w:p>
        </w:tc>
        <w:tc>
          <w:tcPr>
            <w:tcW w:w="76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24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04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2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675"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（2）现场人员有</w:t>
            </w:r>
            <w:r>
              <w:rPr>
                <w:rFonts w:ascii="仿宋" w:hAnsi="仿宋" w:eastAsia="仿宋" w:cs="宋体"/>
                <w:color w:val="000000"/>
                <w:kern w:val="0"/>
                <w:sz w:val="22"/>
                <w:szCs w:val="22"/>
                <w:highlight w:val="none"/>
              </w:rPr>
              <w:t>2</w:t>
            </w:r>
            <w:r>
              <w:rPr>
                <w:rFonts w:hint="eastAsia" w:ascii="仿宋" w:hAnsi="仿宋" w:eastAsia="仿宋" w:cs="宋体"/>
                <w:color w:val="000000"/>
                <w:kern w:val="0"/>
                <w:sz w:val="22"/>
                <w:szCs w:val="22"/>
                <w:highlight w:val="none"/>
              </w:rPr>
              <w:t>个以上及蜀道系统业绩得</w:t>
            </w:r>
            <w:r>
              <w:rPr>
                <w:rFonts w:ascii="仿宋" w:hAnsi="仿宋" w:eastAsia="仿宋" w:cs="宋体"/>
                <w:color w:val="000000"/>
                <w:kern w:val="0"/>
                <w:sz w:val="22"/>
                <w:szCs w:val="22"/>
                <w:highlight w:val="none"/>
              </w:rPr>
              <w:t>3</w:t>
            </w:r>
            <w:r>
              <w:rPr>
                <w:rFonts w:hint="eastAsia" w:ascii="仿宋" w:hAnsi="仿宋" w:eastAsia="仿宋" w:cs="宋体"/>
                <w:color w:val="000000"/>
                <w:kern w:val="0"/>
                <w:sz w:val="22"/>
                <w:szCs w:val="22"/>
                <w:highlight w:val="none"/>
              </w:rPr>
              <w:t>分</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3</w:t>
            </w:r>
          </w:p>
        </w:tc>
        <w:tc>
          <w:tcPr>
            <w:tcW w:w="76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24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04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2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675"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（3）现场人员有</w:t>
            </w:r>
            <w:r>
              <w:rPr>
                <w:rFonts w:ascii="仿宋" w:hAnsi="仿宋" w:eastAsia="仿宋" w:cs="宋体"/>
                <w:color w:val="000000"/>
                <w:kern w:val="0"/>
                <w:sz w:val="22"/>
                <w:szCs w:val="22"/>
                <w:highlight w:val="none"/>
              </w:rPr>
              <w:t>1</w:t>
            </w:r>
            <w:r>
              <w:rPr>
                <w:rFonts w:hint="eastAsia" w:ascii="仿宋" w:hAnsi="仿宋" w:eastAsia="仿宋" w:cs="宋体"/>
                <w:color w:val="000000"/>
                <w:kern w:val="0"/>
                <w:sz w:val="22"/>
                <w:szCs w:val="22"/>
                <w:highlight w:val="none"/>
              </w:rPr>
              <w:t>个以上及蜀道系统业绩得</w:t>
            </w:r>
            <w:r>
              <w:rPr>
                <w:rFonts w:ascii="仿宋" w:hAnsi="仿宋" w:eastAsia="仿宋" w:cs="宋体"/>
                <w:color w:val="000000"/>
                <w:kern w:val="0"/>
                <w:sz w:val="22"/>
                <w:szCs w:val="22"/>
                <w:highlight w:val="none"/>
              </w:rPr>
              <w:t>1</w:t>
            </w:r>
            <w:r>
              <w:rPr>
                <w:rFonts w:hint="eastAsia" w:ascii="仿宋" w:hAnsi="仿宋" w:eastAsia="仿宋" w:cs="宋体"/>
                <w:color w:val="000000"/>
                <w:kern w:val="0"/>
                <w:sz w:val="22"/>
                <w:szCs w:val="22"/>
                <w:highlight w:val="none"/>
              </w:rPr>
              <w:t>分</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w:t>
            </w:r>
          </w:p>
        </w:tc>
        <w:tc>
          <w:tcPr>
            <w:tcW w:w="76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312" w:hRule="atLeast"/>
        </w:trPr>
        <w:tc>
          <w:tcPr>
            <w:tcW w:w="124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04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2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675"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7、咨询服务方案</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highlight w:val="none"/>
              </w:rPr>
            </w:pPr>
            <w:r>
              <w:rPr>
                <w:rFonts w:ascii="仿宋" w:hAnsi="仿宋" w:eastAsia="仿宋" w:cs="宋体"/>
                <w:b/>
                <w:bCs/>
                <w:color w:val="000000"/>
                <w:kern w:val="0"/>
                <w:sz w:val="22"/>
                <w:szCs w:val="22"/>
                <w:highlight w:val="none"/>
              </w:rPr>
              <w:t>30</w:t>
            </w:r>
          </w:p>
        </w:tc>
        <w:tc>
          <w:tcPr>
            <w:tcW w:w="76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312" w:hRule="atLeast"/>
        </w:trPr>
        <w:tc>
          <w:tcPr>
            <w:tcW w:w="124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04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2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675" w:type="dxa"/>
            <w:tcBorders>
              <w:top w:val="nil"/>
              <w:left w:val="nil"/>
              <w:bottom w:val="single" w:color="auto" w:sz="4" w:space="0"/>
              <w:right w:val="single" w:color="auto" w:sz="4" w:space="0"/>
            </w:tcBorders>
            <w:shd w:val="clear" w:color="auto" w:fill="auto"/>
            <w:vAlign w:val="center"/>
          </w:tcPr>
          <w:p>
            <w:pPr>
              <w:widowControl/>
              <w:numPr>
                <w:ilvl w:val="0"/>
                <w:numId w:val="4"/>
              </w:numP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方案整体思路清晰、切合需求；方案设想合理、创新性强、测算项目全面；方案可操作性强、落地实施容易；承诺提供项目本身的日常服务并满足与项目相关的临时性、突发性需求服务</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ascii="仿宋" w:hAnsi="仿宋" w:eastAsia="仿宋" w:cs="宋体"/>
                <w:color w:val="000000"/>
                <w:kern w:val="0"/>
                <w:sz w:val="22"/>
                <w:szCs w:val="22"/>
                <w:highlight w:val="none"/>
              </w:rPr>
              <w:t>21</w:t>
            </w:r>
            <w:r>
              <w:rPr>
                <w:rFonts w:hint="eastAsia" w:ascii="仿宋" w:hAnsi="仿宋" w:eastAsia="仿宋" w:cs="宋体"/>
                <w:color w:val="000000"/>
                <w:kern w:val="0"/>
                <w:sz w:val="22"/>
                <w:szCs w:val="22"/>
                <w:highlight w:val="none"/>
              </w:rPr>
              <w:t>-</w:t>
            </w:r>
            <w:r>
              <w:rPr>
                <w:rFonts w:ascii="仿宋" w:hAnsi="仿宋" w:eastAsia="仿宋" w:cs="宋体"/>
                <w:color w:val="000000"/>
                <w:kern w:val="0"/>
                <w:sz w:val="22"/>
                <w:szCs w:val="22"/>
                <w:highlight w:val="none"/>
              </w:rPr>
              <w:t>30</w:t>
            </w:r>
          </w:p>
        </w:tc>
        <w:tc>
          <w:tcPr>
            <w:tcW w:w="76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312" w:hRule="atLeast"/>
        </w:trPr>
        <w:tc>
          <w:tcPr>
            <w:tcW w:w="124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04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2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675"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2）方案整体思路较清晰、基本切合需求；方案设想较为合理、创新性较强、测算项目较全面；方案可操作性较强、落地实施较容易；承诺提供项目本身的日常服务并满足部分与项目相关的临时性、突发性需求服务，保证24小时内及时响应</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ascii="仿宋" w:hAnsi="仿宋" w:eastAsia="仿宋" w:cs="宋体"/>
                <w:color w:val="000000"/>
                <w:kern w:val="0"/>
                <w:sz w:val="22"/>
                <w:szCs w:val="22"/>
                <w:highlight w:val="none"/>
              </w:rPr>
              <w:t>11</w:t>
            </w:r>
            <w:r>
              <w:rPr>
                <w:rFonts w:hint="eastAsia" w:ascii="仿宋" w:hAnsi="仿宋" w:eastAsia="仿宋" w:cs="宋体"/>
                <w:color w:val="000000"/>
                <w:kern w:val="0"/>
                <w:sz w:val="22"/>
                <w:szCs w:val="22"/>
                <w:highlight w:val="none"/>
              </w:rPr>
              <w:t>-</w:t>
            </w:r>
            <w:r>
              <w:rPr>
                <w:rFonts w:ascii="仿宋" w:hAnsi="仿宋" w:eastAsia="仿宋" w:cs="宋体"/>
                <w:color w:val="000000"/>
                <w:kern w:val="0"/>
                <w:sz w:val="22"/>
                <w:szCs w:val="22"/>
                <w:highlight w:val="none"/>
              </w:rPr>
              <w:t>20</w:t>
            </w:r>
          </w:p>
        </w:tc>
        <w:tc>
          <w:tcPr>
            <w:tcW w:w="76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312" w:hRule="atLeast"/>
        </w:trPr>
        <w:tc>
          <w:tcPr>
            <w:tcW w:w="124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04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2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675"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（3）方案一般，服务保障一般</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w:t>
            </w:r>
            <w:r>
              <w:rPr>
                <w:rFonts w:ascii="仿宋" w:hAnsi="仿宋" w:eastAsia="仿宋" w:cs="宋体"/>
                <w:color w:val="000000"/>
                <w:kern w:val="0"/>
                <w:sz w:val="22"/>
                <w:szCs w:val="22"/>
                <w:highlight w:val="none"/>
              </w:rPr>
              <w:t>10</w:t>
            </w:r>
          </w:p>
        </w:tc>
        <w:tc>
          <w:tcPr>
            <w:tcW w:w="76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24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04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3、报价（</w:t>
            </w:r>
            <w:r>
              <w:rPr>
                <w:rFonts w:ascii="仿宋" w:hAnsi="仿宋" w:eastAsia="仿宋" w:cs="宋体"/>
                <w:color w:val="000000"/>
                <w:kern w:val="0"/>
                <w:sz w:val="22"/>
                <w:szCs w:val="22"/>
                <w:highlight w:val="none"/>
              </w:rPr>
              <w:t>3</w:t>
            </w:r>
            <w:r>
              <w:rPr>
                <w:rFonts w:hint="eastAsia" w:ascii="仿宋" w:hAnsi="仿宋" w:eastAsia="仿宋" w:cs="宋体"/>
                <w:color w:val="000000"/>
                <w:kern w:val="0"/>
                <w:sz w:val="22"/>
                <w:szCs w:val="22"/>
                <w:highlight w:val="none"/>
              </w:rPr>
              <w:t>0分）</w:t>
            </w:r>
          </w:p>
        </w:tc>
        <w:tc>
          <w:tcPr>
            <w:tcW w:w="12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成本控制</w:t>
            </w:r>
          </w:p>
        </w:tc>
        <w:tc>
          <w:tcPr>
            <w:tcW w:w="3675"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1</w:t>
            </w:r>
            <w:r>
              <w:rPr>
                <w:rFonts w:ascii="仿宋" w:hAnsi="仿宋" w:eastAsia="仿宋" w:cs="宋体"/>
                <w:b/>
                <w:bCs/>
                <w:color w:val="000000"/>
                <w:kern w:val="0"/>
                <w:sz w:val="22"/>
                <w:szCs w:val="22"/>
                <w:highlight w:val="none"/>
              </w:rPr>
              <w:t>0</w:t>
            </w:r>
            <w:r>
              <w:rPr>
                <w:rFonts w:hint="eastAsia" w:ascii="仿宋" w:hAnsi="仿宋" w:eastAsia="仿宋" w:cs="宋体"/>
                <w:b/>
                <w:bCs/>
                <w:color w:val="000000"/>
                <w:kern w:val="0"/>
                <w:sz w:val="22"/>
                <w:szCs w:val="22"/>
                <w:highlight w:val="none"/>
              </w:rPr>
              <w:t>、报价范围（不高于50万）</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highlight w:val="none"/>
              </w:rPr>
            </w:pPr>
            <w:r>
              <w:rPr>
                <w:rFonts w:ascii="仿宋" w:hAnsi="仿宋" w:eastAsia="仿宋" w:cs="宋体"/>
                <w:b/>
                <w:bCs/>
                <w:color w:val="000000"/>
                <w:kern w:val="0"/>
                <w:sz w:val="22"/>
                <w:szCs w:val="22"/>
                <w:highlight w:val="none"/>
              </w:rPr>
              <w:t>3</w:t>
            </w:r>
            <w:r>
              <w:rPr>
                <w:rFonts w:hint="eastAsia" w:ascii="仿宋" w:hAnsi="仿宋" w:eastAsia="仿宋" w:cs="宋体"/>
                <w:b/>
                <w:bCs/>
                <w:color w:val="000000"/>
                <w:kern w:val="0"/>
                <w:sz w:val="22"/>
                <w:szCs w:val="22"/>
                <w:highlight w:val="none"/>
              </w:rPr>
              <w:t>0</w:t>
            </w:r>
          </w:p>
        </w:tc>
        <w:tc>
          <w:tcPr>
            <w:tcW w:w="76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576" w:hRule="atLeast"/>
        </w:trPr>
        <w:tc>
          <w:tcPr>
            <w:tcW w:w="124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04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2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675"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（1）申请人有效报价【即比选限制价</w:t>
            </w:r>
            <w:r>
              <w:rPr>
                <w:rFonts w:ascii="仿宋" w:hAnsi="仿宋" w:eastAsia="仿宋" w:cs="宋体"/>
                <w:color w:val="000000"/>
                <w:kern w:val="0"/>
                <w:sz w:val="22"/>
                <w:szCs w:val="22"/>
                <w:highlight w:val="none"/>
              </w:rPr>
              <w:t>5</w:t>
            </w:r>
            <w:r>
              <w:rPr>
                <w:rFonts w:hint="eastAsia" w:ascii="仿宋" w:hAnsi="仿宋" w:eastAsia="仿宋" w:cs="宋体"/>
                <w:color w:val="000000"/>
                <w:kern w:val="0"/>
                <w:sz w:val="22"/>
                <w:szCs w:val="22"/>
                <w:highlight w:val="none"/>
              </w:rPr>
              <w:t>5%≤有效报价≤比选限制价100%】的平均价为评审基准价。报价为基准价的，得</w:t>
            </w:r>
            <w:r>
              <w:rPr>
                <w:rFonts w:ascii="仿宋" w:hAnsi="仿宋" w:eastAsia="仿宋" w:cs="宋体"/>
                <w:color w:val="000000"/>
                <w:kern w:val="0"/>
                <w:sz w:val="22"/>
                <w:szCs w:val="22"/>
                <w:highlight w:val="none"/>
              </w:rPr>
              <w:t>3</w:t>
            </w:r>
            <w:r>
              <w:rPr>
                <w:rFonts w:hint="eastAsia" w:ascii="仿宋" w:hAnsi="仿宋" w:eastAsia="仿宋" w:cs="宋体"/>
                <w:color w:val="000000"/>
                <w:kern w:val="0"/>
                <w:sz w:val="22"/>
                <w:szCs w:val="22"/>
                <w:highlight w:val="none"/>
              </w:rPr>
              <w:t>0分</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ascii="仿宋" w:hAnsi="仿宋" w:eastAsia="仿宋" w:cs="宋体"/>
                <w:color w:val="000000"/>
                <w:kern w:val="0"/>
                <w:sz w:val="22"/>
                <w:szCs w:val="22"/>
                <w:highlight w:val="none"/>
              </w:rPr>
              <w:t>3</w:t>
            </w:r>
            <w:r>
              <w:rPr>
                <w:rFonts w:hint="eastAsia" w:ascii="仿宋" w:hAnsi="仿宋" w:eastAsia="仿宋" w:cs="宋体"/>
                <w:color w:val="000000"/>
                <w:kern w:val="0"/>
                <w:sz w:val="22"/>
                <w:szCs w:val="22"/>
                <w:highlight w:val="none"/>
              </w:rPr>
              <w:t>0</w:t>
            </w:r>
          </w:p>
        </w:tc>
        <w:tc>
          <w:tcPr>
            <w:tcW w:w="76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576" w:hRule="atLeast"/>
        </w:trPr>
        <w:tc>
          <w:tcPr>
            <w:tcW w:w="124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04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2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675"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（2）申请人的报价高于/低于基准价的，每高/低1%（不足1%，按1%计算），扣0.1分；扣完为止。</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0-</w:t>
            </w:r>
            <w:r>
              <w:rPr>
                <w:rFonts w:ascii="仿宋" w:hAnsi="仿宋" w:eastAsia="仿宋" w:cs="宋体"/>
                <w:color w:val="000000"/>
                <w:kern w:val="0"/>
                <w:sz w:val="22"/>
                <w:szCs w:val="22"/>
                <w:highlight w:val="none"/>
              </w:rPr>
              <w:t>3</w:t>
            </w:r>
            <w:r>
              <w:rPr>
                <w:rFonts w:hint="eastAsia" w:ascii="仿宋" w:hAnsi="仿宋" w:eastAsia="仿宋" w:cs="宋体"/>
                <w:color w:val="000000"/>
                <w:kern w:val="0"/>
                <w:sz w:val="22"/>
                <w:szCs w:val="22"/>
                <w:highlight w:val="none"/>
              </w:rPr>
              <w:t>0</w:t>
            </w:r>
          </w:p>
        </w:tc>
        <w:tc>
          <w:tcPr>
            <w:tcW w:w="76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24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04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4、保密（5分）</w:t>
            </w:r>
          </w:p>
        </w:tc>
        <w:tc>
          <w:tcPr>
            <w:tcW w:w="12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保密制度措施</w:t>
            </w:r>
          </w:p>
        </w:tc>
        <w:tc>
          <w:tcPr>
            <w:tcW w:w="367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1</w:t>
            </w:r>
            <w:r>
              <w:rPr>
                <w:rFonts w:ascii="仿宋" w:hAnsi="仿宋" w:eastAsia="仿宋" w:cs="宋体"/>
                <w:b/>
                <w:bCs/>
                <w:color w:val="000000"/>
                <w:kern w:val="0"/>
                <w:sz w:val="22"/>
                <w:szCs w:val="22"/>
                <w:highlight w:val="none"/>
              </w:rPr>
              <w:t>1</w:t>
            </w:r>
            <w:r>
              <w:rPr>
                <w:rFonts w:hint="eastAsia" w:ascii="仿宋" w:hAnsi="仿宋" w:eastAsia="仿宋" w:cs="宋体"/>
                <w:b/>
                <w:bCs/>
                <w:color w:val="000000"/>
                <w:kern w:val="0"/>
                <w:sz w:val="22"/>
                <w:szCs w:val="22"/>
                <w:highlight w:val="none"/>
              </w:rPr>
              <w:t>、有无保密制度和保密措施</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5</w:t>
            </w:r>
          </w:p>
        </w:tc>
        <w:tc>
          <w:tcPr>
            <w:tcW w:w="76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24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04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2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67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（1）有</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5</w:t>
            </w:r>
          </w:p>
        </w:tc>
        <w:tc>
          <w:tcPr>
            <w:tcW w:w="76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24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04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2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67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（2）无</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0</w:t>
            </w:r>
          </w:p>
        </w:tc>
        <w:tc>
          <w:tcPr>
            <w:tcW w:w="76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71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合计得分</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100</w:t>
            </w:r>
          </w:p>
        </w:tc>
        <w:tc>
          <w:tcPr>
            <w:tcW w:w="76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bl>
    <w:p>
      <w:pPr>
        <w:spacing w:before="120" w:beforeLines="50" w:line="30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1.综合评分=报价评分+质量评分+保密评分；</w:t>
      </w:r>
    </w:p>
    <w:p>
      <w:pPr>
        <w:spacing w:before="120" w:beforeLines="50" w:line="30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2.分项得分按四舍五入原则精确到小数点后一位,综合评分四舍五入取整数位。</w:t>
      </w:r>
    </w:p>
    <w:p>
      <w:pPr>
        <w:spacing w:before="120" w:beforeLines="50" w:line="30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（四）推荐通过中选候选人</w:t>
      </w:r>
    </w:p>
    <w:p>
      <w:pPr>
        <w:spacing w:before="120" w:beforeLines="50" w:line="30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评审组根据评分统计结果按综合得分从高到低排序，综合评分相同的，按报价评分由高到低顺序排列；综合评分相同，且报价评分相同的，按质量评分由高到低顺序排列；综合评分相同，且报价评分、质量评分均相同的，按保密评分由高到低顺序排列；综合评分相同，且报价评分、质量评分、保密评分均相同名次由评审组抽签决定，评审组按上述排列顺序向比选人推荐中选候选人。</w:t>
      </w:r>
    </w:p>
    <w:p>
      <w:pPr>
        <w:widowControl/>
        <w:jc w:val="left"/>
        <w:rPr>
          <w:rFonts w:ascii="仿宋_GB2312" w:hAnsi="仿宋" w:eastAsia="仿宋_GB2312"/>
          <w:sz w:val="32"/>
          <w:szCs w:val="32"/>
          <w:highlight w:val="none"/>
        </w:rPr>
      </w:pPr>
      <w:r>
        <w:rPr>
          <w:rFonts w:ascii="仿宋_GB2312" w:hAnsi="仿宋" w:eastAsia="仿宋_GB2312"/>
          <w:sz w:val="32"/>
          <w:szCs w:val="32"/>
          <w:highlight w:val="none"/>
        </w:rPr>
        <w:br w:type="page"/>
      </w:r>
    </w:p>
    <w:p>
      <w:pPr>
        <w:pStyle w:val="3"/>
        <w:rPr>
          <w:rFonts w:ascii="黑体" w:eastAsia="黑体"/>
          <w:sz w:val="32"/>
          <w:szCs w:val="32"/>
          <w:highlight w:val="none"/>
        </w:rPr>
      </w:pPr>
      <w:r>
        <w:rPr>
          <w:rFonts w:hint="eastAsia" w:ascii="黑体" w:eastAsia="黑体"/>
          <w:sz w:val="32"/>
          <w:szCs w:val="32"/>
          <w:highlight w:val="none"/>
        </w:rPr>
        <w:t>附件八：管理咨询委托服务合同</w:t>
      </w:r>
    </w:p>
    <w:p>
      <w:pPr>
        <w:spacing w:line="560" w:lineRule="exact"/>
        <w:jc w:val="center"/>
        <w:rPr>
          <w:rFonts w:eastAsia="方正小标宋_GBK"/>
          <w:sz w:val="44"/>
          <w:szCs w:val="44"/>
          <w:highlight w:val="none"/>
        </w:rPr>
      </w:pPr>
      <w:r>
        <w:rPr>
          <w:rFonts w:eastAsia="方正小标宋_GBK"/>
          <w:sz w:val="44"/>
          <w:szCs w:val="44"/>
          <w:highlight w:val="none"/>
        </w:rPr>
        <w:t>管理咨询委托服务合同</w:t>
      </w:r>
    </w:p>
    <w:p>
      <w:pPr>
        <w:spacing w:line="560" w:lineRule="exact"/>
        <w:jc w:val="center"/>
        <w:rPr>
          <w:rFonts w:eastAsia="仿宋_GB2312"/>
          <w:sz w:val="28"/>
          <w:szCs w:val="28"/>
          <w:highlight w:val="none"/>
        </w:rPr>
      </w:pPr>
      <w:r>
        <w:rPr>
          <w:rFonts w:eastAsia="仿宋_GB2312"/>
          <w:sz w:val="28"/>
          <w:szCs w:val="28"/>
          <w:highlight w:val="none"/>
        </w:rPr>
        <w:t xml:space="preserve"> </w:t>
      </w:r>
    </w:p>
    <w:tbl>
      <w:tblPr>
        <w:tblStyle w:val="12"/>
        <w:tblW w:w="8897" w:type="dxa"/>
        <w:jc w:val="center"/>
        <w:tblLayout w:type="fixed"/>
        <w:tblCellMar>
          <w:top w:w="0" w:type="dxa"/>
          <w:left w:w="108" w:type="dxa"/>
          <w:bottom w:w="0" w:type="dxa"/>
          <w:right w:w="108" w:type="dxa"/>
        </w:tblCellMar>
      </w:tblPr>
      <w:tblGrid>
        <w:gridCol w:w="8897"/>
      </w:tblGrid>
      <w:tr>
        <w:tblPrEx>
          <w:tblCellMar>
            <w:top w:w="0" w:type="dxa"/>
            <w:left w:w="108" w:type="dxa"/>
            <w:bottom w:w="0" w:type="dxa"/>
            <w:right w:w="108" w:type="dxa"/>
          </w:tblCellMar>
        </w:tblPrEx>
        <w:trPr>
          <w:jc w:val="center"/>
        </w:trPr>
        <w:tc>
          <w:tcPr>
            <w:tcW w:w="8897" w:type="dxa"/>
          </w:tcPr>
          <w:p>
            <w:pPr>
              <w:spacing w:line="360" w:lineRule="auto"/>
              <w:jc w:val="left"/>
              <w:rPr>
                <w:rFonts w:eastAsia="仿宋_GB2312"/>
                <w:sz w:val="28"/>
                <w:szCs w:val="28"/>
                <w:highlight w:val="none"/>
              </w:rPr>
            </w:pPr>
            <w:r>
              <w:rPr>
                <w:rFonts w:eastAsia="仿宋_GB2312"/>
                <w:sz w:val="28"/>
                <w:szCs w:val="28"/>
                <w:highlight w:val="none"/>
              </w:rPr>
              <w:t>甲方（委托方）：</w:t>
            </w:r>
            <w:r>
              <w:rPr>
                <w:rFonts w:eastAsia="仿宋_GB2312"/>
                <w:sz w:val="28"/>
                <w:szCs w:val="28"/>
                <w:highlight w:val="none"/>
                <w:u w:val="single"/>
              </w:rPr>
              <w:t xml:space="preserve">                         </w:t>
            </w:r>
          </w:p>
        </w:tc>
      </w:tr>
      <w:tr>
        <w:tblPrEx>
          <w:tblCellMar>
            <w:top w:w="0" w:type="dxa"/>
            <w:left w:w="108" w:type="dxa"/>
            <w:bottom w:w="0" w:type="dxa"/>
            <w:right w:w="108" w:type="dxa"/>
          </w:tblCellMar>
        </w:tblPrEx>
        <w:trPr>
          <w:jc w:val="center"/>
        </w:trPr>
        <w:tc>
          <w:tcPr>
            <w:tcW w:w="8897" w:type="dxa"/>
          </w:tcPr>
          <w:p>
            <w:pPr>
              <w:spacing w:line="360" w:lineRule="auto"/>
              <w:jc w:val="left"/>
              <w:rPr>
                <w:rFonts w:eastAsia="仿宋_GB2312"/>
                <w:sz w:val="28"/>
                <w:szCs w:val="28"/>
                <w:highlight w:val="none"/>
              </w:rPr>
            </w:pPr>
            <w:r>
              <w:rPr>
                <w:rFonts w:eastAsia="仿宋_GB2312"/>
                <w:sz w:val="28"/>
                <w:szCs w:val="28"/>
                <w:highlight w:val="none"/>
              </w:rPr>
              <w:t>乙方（受托方）：</w:t>
            </w:r>
            <w:r>
              <w:rPr>
                <w:rFonts w:eastAsia="仿宋_GB2312"/>
                <w:sz w:val="28"/>
                <w:szCs w:val="28"/>
                <w:highlight w:val="none"/>
                <w:u w:val="single"/>
              </w:rPr>
              <w:t xml:space="preserve">                         </w:t>
            </w:r>
          </w:p>
        </w:tc>
      </w:tr>
    </w:tbl>
    <w:p>
      <w:pPr>
        <w:spacing w:line="360" w:lineRule="auto"/>
        <w:ind w:firstLine="560" w:firstLineChars="200"/>
        <w:rPr>
          <w:rFonts w:eastAsia="仿宋_GB2312"/>
          <w:sz w:val="28"/>
          <w:szCs w:val="28"/>
          <w:highlight w:val="none"/>
        </w:rPr>
      </w:pPr>
      <w:r>
        <w:rPr>
          <w:rFonts w:eastAsia="仿宋_GB2312"/>
          <w:sz w:val="28"/>
          <w:szCs w:val="28"/>
          <w:highlight w:val="none"/>
        </w:rPr>
        <w:t>依据《</w:t>
      </w:r>
      <w:r>
        <w:rPr>
          <w:rFonts w:hint="eastAsia" w:eastAsia="仿宋_GB2312"/>
          <w:sz w:val="28"/>
          <w:szCs w:val="28"/>
          <w:highlight w:val="none"/>
        </w:rPr>
        <w:t>中华人民共和国民法典</w:t>
      </w:r>
      <w:r>
        <w:rPr>
          <w:rFonts w:eastAsia="仿宋_GB2312"/>
          <w:sz w:val="28"/>
          <w:szCs w:val="28"/>
          <w:highlight w:val="none"/>
        </w:rPr>
        <w:t>》等有关法律规定，</w:t>
      </w:r>
      <w:r>
        <w:rPr>
          <w:rFonts w:eastAsia="仿宋_GB2312"/>
          <w:sz w:val="28"/>
          <w:szCs w:val="28"/>
          <w:highlight w:val="none"/>
          <w:u w:val="single"/>
        </w:rPr>
        <w:t xml:space="preserve">         </w:t>
      </w:r>
      <w:r>
        <w:rPr>
          <w:rFonts w:eastAsia="仿宋_GB2312"/>
          <w:sz w:val="28"/>
          <w:szCs w:val="28"/>
          <w:highlight w:val="none"/>
        </w:rPr>
        <w:t>（以下简称甲方）与</w:t>
      </w:r>
      <w:r>
        <w:rPr>
          <w:rFonts w:hint="eastAsia" w:eastAsia="仿宋_GB2312"/>
          <w:sz w:val="28"/>
          <w:szCs w:val="28"/>
          <w:highlight w:val="none"/>
          <w:u w:val="single"/>
        </w:rPr>
        <w:t xml:space="preserve"> </w:t>
      </w:r>
      <w:r>
        <w:rPr>
          <w:rFonts w:eastAsia="仿宋_GB2312"/>
          <w:sz w:val="28"/>
          <w:szCs w:val="28"/>
          <w:highlight w:val="none"/>
          <w:u w:val="single"/>
        </w:rPr>
        <w:t xml:space="preserve">           </w:t>
      </w:r>
      <w:r>
        <w:rPr>
          <w:rFonts w:eastAsia="仿宋_GB2312"/>
          <w:sz w:val="28"/>
          <w:szCs w:val="28"/>
          <w:highlight w:val="none"/>
        </w:rPr>
        <w:t>（以下简称乙方）经友好协商达成如下共识，并签订本合同。</w:t>
      </w:r>
    </w:p>
    <w:p>
      <w:pPr>
        <w:pStyle w:val="18"/>
        <w:numPr>
          <w:ilvl w:val="0"/>
          <w:numId w:val="5"/>
        </w:numPr>
        <w:spacing w:line="560" w:lineRule="exact"/>
        <w:ind w:left="0" w:firstLine="558" w:firstLineChars="0"/>
        <w:rPr>
          <w:rFonts w:eastAsia="仿宋_GB2312"/>
          <w:sz w:val="28"/>
          <w:szCs w:val="28"/>
          <w:highlight w:val="none"/>
        </w:rPr>
      </w:pPr>
      <w:r>
        <w:rPr>
          <w:rFonts w:eastAsia="仿宋_GB2312"/>
          <w:sz w:val="28"/>
          <w:szCs w:val="28"/>
          <w:highlight w:val="none"/>
        </w:rPr>
        <w:t>项目名称</w:t>
      </w:r>
    </w:p>
    <w:p>
      <w:pPr>
        <w:spacing w:line="560" w:lineRule="exact"/>
        <w:ind w:firstLine="560" w:firstLineChars="200"/>
        <w:rPr>
          <w:rFonts w:eastAsia="仿宋_GB2312"/>
          <w:sz w:val="28"/>
          <w:szCs w:val="28"/>
          <w:highlight w:val="none"/>
        </w:rPr>
      </w:pPr>
      <w:r>
        <w:rPr>
          <w:rFonts w:hint="eastAsia" w:eastAsia="仿宋_GB2312"/>
          <w:sz w:val="28"/>
          <w:szCs w:val="28"/>
          <w:highlight w:val="none"/>
        </w:rPr>
        <w:t>蜀道物流集团专业化整合人力资源项目咨询服务</w:t>
      </w:r>
    </w:p>
    <w:p>
      <w:pPr>
        <w:pStyle w:val="18"/>
        <w:numPr>
          <w:ilvl w:val="0"/>
          <w:numId w:val="5"/>
        </w:numPr>
        <w:spacing w:line="560" w:lineRule="exact"/>
        <w:ind w:left="0" w:firstLine="558" w:firstLineChars="0"/>
        <w:rPr>
          <w:rFonts w:eastAsia="仿宋_GB2312"/>
          <w:sz w:val="28"/>
          <w:szCs w:val="28"/>
          <w:highlight w:val="none"/>
        </w:rPr>
      </w:pPr>
      <w:r>
        <w:rPr>
          <w:rFonts w:eastAsia="仿宋_GB2312"/>
          <w:sz w:val="28"/>
          <w:szCs w:val="28"/>
          <w:highlight w:val="none"/>
        </w:rPr>
        <w:t>咨询服务范围与内容</w:t>
      </w:r>
    </w:p>
    <w:p>
      <w:pPr>
        <w:pStyle w:val="6"/>
        <w:numPr>
          <w:ilvl w:val="0"/>
          <w:numId w:val="6"/>
        </w:numPr>
        <w:spacing w:line="560" w:lineRule="exact"/>
        <w:ind w:left="0" w:leftChars="0" w:firstLine="558"/>
        <w:rPr>
          <w:rFonts w:ascii="Times New Roman" w:hAnsi="Times New Roman" w:eastAsia="仿宋_GB2312" w:cs="Times New Roman"/>
          <w:color w:val="000000"/>
          <w:sz w:val="28"/>
          <w:szCs w:val="28"/>
          <w:highlight w:val="none"/>
        </w:rPr>
      </w:pPr>
      <w:r>
        <w:rPr>
          <w:rFonts w:ascii="Times New Roman" w:hAnsi="Times New Roman" w:eastAsia="仿宋_GB2312" w:cs="Times New Roman"/>
          <w:sz w:val="28"/>
          <w:szCs w:val="28"/>
          <w:highlight w:val="none"/>
        </w:rPr>
        <w:t>本项目的具体服务内容及相关工作成果详见</w:t>
      </w:r>
      <w:r>
        <w:rPr>
          <w:rFonts w:ascii="Times New Roman" w:hAnsi="Times New Roman" w:eastAsia="仿宋_GB2312" w:cs="Times New Roman"/>
          <w:color w:val="000000"/>
          <w:sz w:val="28"/>
          <w:szCs w:val="28"/>
          <w:highlight w:val="none"/>
          <w:u w:val="thick"/>
        </w:rPr>
        <w:t>附件《</w:t>
      </w:r>
      <w:r>
        <w:rPr>
          <w:rFonts w:hint="eastAsia" w:ascii="Times New Roman" w:hAnsi="Times New Roman" w:eastAsia="仿宋_GB2312" w:cs="Times New Roman"/>
          <w:color w:val="000000"/>
          <w:sz w:val="28"/>
          <w:szCs w:val="28"/>
          <w:highlight w:val="none"/>
          <w:u w:val="thick"/>
        </w:rPr>
        <w:t>蜀道物流集团专业化整合人力资源项目咨询服务</w:t>
      </w:r>
      <w:r>
        <w:rPr>
          <w:rFonts w:ascii="Times New Roman" w:hAnsi="Times New Roman" w:eastAsia="仿宋_GB2312" w:cs="Times New Roman"/>
          <w:color w:val="000000"/>
          <w:sz w:val="28"/>
          <w:szCs w:val="28"/>
          <w:highlight w:val="none"/>
          <w:u w:val="thick"/>
        </w:rPr>
        <w:t>内容》</w:t>
      </w:r>
      <w:r>
        <w:rPr>
          <w:rFonts w:hint="eastAsia" w:ascii="Times New Roman" w:hAnsi="Times New Roman" w:eastAsia="仿宋_GB2312" w:cs="Times New Roman"/>
          <w:color w:val="000000"/>
          <w:sz w:val="28"/>
          <w:szCs w:val="28"/>
          <w:highlight w:val="none"/>
          <w:u w:val="thick"/>
        </w:rPr>
        <w:t>，并在完成附件中的服务项目后，对咨询服务项目成果宣贯培训</w:t>
      </w:r>
      <w:r>
        <w:rPr>
          <w:rFonts w:ascii="Times New Roman" w:hAnsi="Times New Roman" w:eastAsia="仿宋_GB2312" w:cs="Times New Roman"/>
          <w:color w:val="000000"/>
          <w:sz w:val="28"/>
          <w:szCs w:val="28"/>
          <w:highlight w:val="none"/>
          <w:u w:val="thick"/>
        </w:rPr>
        <w:t>。</w:t>
      </w:r>
    </w:p>
    <w:p>
      <w:pPr>
        <w:pStyle w:val="6"/>
        <w:numPr>
          <w:ilvl w:val="0"/>
          <w:numId w:val="6"/>
        </w:numPr>
        <w:spacing w:line="560" w:lineRule="exact"/>
        <w:ind w:left="0" w:leftChars="0" w:firstLine="558"/>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若咨询服务过程中甲方要求增加或调整咨询工作内容，双方本着诚实信用的原则，协商处理。</w:t>
      </w:r>
    </w:p>
    <w:p>
      <w:pPr>
        <w:pStyle w:val="18"/>
        <w:numPr>
          <w:ilvl w:val="0"/>
          <w:numId w:val="5"/>
        </w:numPr>
        <w:spacing w:line="560" w:lineRule="exact"/>
        <w:ind w:left="0" w:firstLine="558" w:firstLineChars="0"/>
        <w:rPr>
          <w:rFonts w:eastAsia="仿宋_GB2312"/>
          <w:sz w:val="28"/>
          <w:szCs w:val="28"/>
          <w:highlight w:val="none"/>
        </w:rPr>
      </w:pPr>
      <w:r>
        <w:rPr>
          <w:rFonts w:eastAsia="仿宋_GB2312"/>
          <w:sz w:val="28"/>
          <w:szCs w:val="28"/>
          <w:highlight w:val="none"/>
        </w:rPr>
        <w:t>咨询服务时间</w:t>
      </w:r>
    </w:p>
    <w:p>
      <w:pPr>
        <w:pStyle w:val="18"/>
        <w:numPr>
          <w:ilvl w:val="0"/>
          <w:numId w:val="7"/>
        </w:numPr>
        <w:spacing w:line="560" w:lineRule="exact"/>
        <w:ind w:left="0" w:firstLine="558" w:firstLineChars="0"/>
        <w:rPr>
          <w:rFonts w:eastAsia="仿宋_GB2312"/>
          <w:sz w:val="28"/>
          <w:szCs w:val="28"/>
          <w:highlight w:val="none"/>
        </w:rPr>
      </w:pPr>
      <w:r>
        <w:rPr>
          <w:rFonts w:eastAsia="仿宋_GB2312"/>
          <w:sz w:val="28"/>
          <w:szCs w:val="28"/>
          <w:highlight w:val="none"/>
        </w:rPr>
        <w:t>本合同签订后甲方支付项目首期款之日，乙方项目组进入甲方开展咨询服务工作。</w:t>
      </w:r>
    </w:p>
    <w:p>
      <w:pPr>
        <w:pStyle w:val="18"/>
        <w:numPr>
          <w:ilvl w:val="0"/>
          <w:numId w:val="7"/>
        </w:numPr>
        <w:spacing w:line="560" w:lineRule="exact"/>
        <w:ind w:left="0" w:firstLine="558" w:firstLineChars="0"/>
        <w:rPr>
          <w:rFonts w:eastAsia="仿宋_GB2312"/>
          <w:sz w:val="28"/>
          <w:szCs w:val="28"/>
          <w:highlight w:val="none"/>
        </w:rPr>
      </w:pPr>
      <w:r>
        <w:rPr>
          <w:rFonts w:eastAsia="仿宋_GB2312"/>
          <w:sz w:val="28"/>
          <w:szCs w:val="28"/>
          <w:highlight w:val="none"/>
        </w:rPr>
        <w:t>本项目合作期限：</w:t>
      </w:r>
      <w:r>
        <w:rPr>
          <w:rFonts w:hint="eastAsia" w:eastAsia="仿宋_GB2312"/>
          <w:sz w:val="28"/>
          <w:szCs w:val="28"/>
          <w:highlight w:val="none"/>
        </w:rPr>
        <w:t>自双方签订本合同之日起算</w:t>
      </w:r>
      <w:r>
        <w:rPr>
          <w:rFonts w:eastAsia="仿宋_GB2312"/>
          <w:sz w:val="28"/>
          <w:szCs w:val="28"/>
          <w:highlight w:val="none"/>
        </w:rPr>
        <w:t>3</w:t>
      </w:r>
      <w:r>
        <w:rPr>
          <w:rFonts w:hint="eastAsia" w:eastAsia="仿宋_GB2312"/>
          <w:sz w:val="28"/>
          <w:szCs w:val="28"/>
          <w:highlight w:val="none"/>
        </w:rPr>
        <w:t>个月，具体期限可根据甲方需求进行调整</w:t>
      </w:r>
      <w:r>
        <w:rPr>
          <w:rFonts w:eastAsia="仿宋_GB2312"/>
          <w:sz w:val="28"/>
          <w:szCs w:val="28"/>
          <w:highlight w:val="none"/>
        </w:rPr>
        <w:t>。</w:t>
      </w:r>
    </w:p>
    <w:p>
      <w:pPr>
        <w:pStyle w:val="18"/>
        <w:numPr>
          <w:ilvl w:val="0"/>
          <w:numId w:val="7"/>
        </w:numPr>
        <w:spacing w:line="560" w:lineRule="exact"/>
        <w:ind w:left="0" w:firstLine="558" w:firstLineChars="0"/>
        <w:rPr>
          <w:rFonts w:eastAsia="仿宋_GB2312"/>
          <w:sz w:val="28"/>
          <w:szCs w:val="28"/>
          <w:highlight w:val="none"/>
        </w:rPr>
      </w:pPr>
      <w:r>
        <w:rPr>
          <w:rFonts w:eastAsia="仿宋_GB2312"/>
          <w:sz w:val="28"/>
          <w:szCs w:val="28"/>
          <w:highlight w:val="none"/>
        </w:rPr>
        <w:t>如因甲方原因导致项目无法按本协议约定时间完成，</w:t>
      </w:r>
      <w:r>
        <w:rPr>
          <w:rFonts w:hint="eastAsia" w:eastAsia="仿宋_GB2312"/>
          <w:sz w:val="28"/>
          <w:szCs w:val="28"/>
          <w:highlight w:val="none"/>
        </w:rPr>
        <w:t>经甲方确认后，</w:t>
      </w:r>
      <w:r>
        <w:rPr>
          <w:rFonts w:eastAsia="仿宋_GB2312"/>
          <w:sz w:val="28"/>
          <w:szCs w:val="28"/>
          <w:highlight w:val="none"/>
        </w:rPr>
        <w:t>项目时间顺延，由此产生的交通食宿费由甲方承担。</w:t>
      </w:r>
    </w:p>
    <w:p>
      <w:pPr>
        <w:pStyle w:val="18"/>
        <w:numPr>
          <w:ilvl w:val="0"/>
          <w:numId w:val="7"/>
        </w:numPr>
        <w:spacing w:line="560" w:lineRule="exact"/>
        <w:ind w:left="0" w:firstLine="558" w:firstLineChars="0"/>
        <w:rPr>
          <w:rFonts w:eastAsia="仿宋_GB2312"/>
          <w:sz w:val="28"/>
          <w:szCs w:val="28"/>
          <w:highlight w:val="none"/>
        </w:rPr>
      </w:pPr>
      <w:r>
        <w:rPr>
          <w:rFonts w:eastAsia="仿宋_GB2312"/>
          <w:sz w:val="28"/>
          <w:szCs w:val="28"/>
          <w:highlight w:val="none"/>
        </w:rPr>
        <w:t>如因乙方原因导致项目无法按本协议约定时间完成，</w:t>
      </w:r>
      <w:r>
        <w:rPr>
          <w:rFonts w:hint="eastAsia" w:eastAsia="仿宋_GB2312"/>
          <w:sz w:val="28"/>
          <w:szCs w:val="28"/>
          <w:highlight w:val="none"/>
        </w:rPr>
        <w:t>乙方应当承担项目延误的违约责任，且</w:t>
      </w:r>
      <w:r>
        <w:rPr>
          <w:rFonts w:eastAsia="仿宋_GB2312"/>
          <w:sz w:val="28"/>
          <w:szCs w:val="28"/>
          <w:highlight w:val="none"/>
        </w:rPr>
        <w:t>由此产生的交通食宿费</w:t>
      </w:r>
      <w:r>
        <w:rPr>
          <w:rFonts w:hint="eastAsia" w:eastAsia="仿宋_GB2312"/>
          <w:sz w:val="28"/>
          <w:szCs w:val="28"/>
          <w:highlight w:val="none"/>
        </w:rPr>
        <w:t>等费用</w:t>
      </w:r>
      <w:r>
        <w:rPr>
          <w:rFonts w:eastAsia="仿宋_GB2312"/>
          <w:sz w:val="28"/>
          <w:szCs w:val="28"/>
          <w:highlight w:val="none"/>
        </w:rPr>
        <w:t>由乙方承担。</w:t>
      </w:r>
    </w:p>
    <w:p>
      <w:pPr>
        <w:pStyle w:val="18"/>
        <w:numPr>
          <w:ilvl w:val="0"/>
          <w:numId w:val="5"/>
        </w:numPr>
        <w:spacing w:line="560" w:lineRule="exact"/>
        <w:ind w:left="0" w:firstLine="558" w:firstLineChars="0"/>
        <w:rPr>
          <w:rFonts w:eastAsia="仿宋_GB2312"/>
          <w:sz w:val="28"/>
          <w:szCs w:val="28"/>
          <w:highlight w:val="none"/>
        </w:rPr>
      </w:pPr>
      <w:r>
        <w:rPr>
          <w:rFonts w:eastAsia="仿宋_GB2312"/>
          <w:sz w:val="28"/>
          <w:szCs w:val="28"/>
          <w:highlight w:val="none"/>
        </w:rPr>
        <w:t>项目组织</w:t>
      </w:r>
    </w:p>
    <w:p>
      <w:pPr>
        <w:pStyle w:val="18"/>
        <w:numPr>
          <w:ilvl w:val="0"/>
          <w:numId w:val="8"/>
        </w:numPr>
        <w:spacing w:line="560" w:lineRule="exact"/>
        <w:ind w:left="0" w:firstLine="558" w:firstLineChars="0"/>
        <w:rPr>
          <w:rFonts w:eastAsia="仿宋_GB2312"/>
          <w:sz w:val="28"/>
          <w:szCs w:val="28"/>
          <w:highlight w:val="none"/>
        </w:rPr>
      </w:pPr>
      <w:r>
        <w:rPr>
          <w:rFonts w:eastAsia="仿宋_GB2312"/>
          <w:sz w:val="28"/>
          <w:szCs w:val="28"/>
          <w:highlight w:val="none"/>
        </w:rPr>
        <w:t>乙方指派1位</w:t>
      </w:r>
      <w:r>
        <w:rPr>
          <w:rFonts w:hint="eastAsia" w:eastAsia="仿宋_GB2312"/>
          <w:sz w:val="28"/>
          <w:szCs w:val="28"/>
          <w:highlight w:val="none"/>
        </w:rPr>
        <w:t>咨询总监、1位</w:t>
      </w:r>
      <w:r>
        <w:rPr>
          <w:rFonts w:eastAsia="仿宋_GB2312"/>
          <w:sz w:val="28"/>
          <w:szCs w:val="28"/>
          <w:highlight w:val="none"/>
        </w:rPr>
        <w:t>项目经理、2位管理顾问执行本项目任务</w:t>
      </w:r>
      <w:r>
        <w:rPr>
          <w:rFonts w:hint="eastAsia" w:eastAsia="仿宋_GB2312"/>
          <w:sz w:val="28"/>
          <w:szCs w:val="28"/>
          <w:highlight w:val="none"/>
        </w:rPr>
        <w:t>，未经甲方同意，乙方不得擅自更换前述人员，否则，应向甲方支付违约金2</w:t>
      </w:r>
      <w:r>
        <w:rPr>
          <w:rFonts w:eastAsia="仿宋_GB2312"/>
          <w:sz w:val="28"/>
          <w:szCs w:val="28"/>
          <w:highlight w:val="none"/>
        </w:rPr>
        <w:t>000</w:t>
      </w:r>
      <w:r>
        <w:rPr>
          <w:rFonts w:hint="eastAsia" w:eastAsia="仿宋_GB2312"/>
          <w:sz w:val="28"/>
          <w:szCs w:val="28"/>
          <w:highlight w:val="none"/>
        </w:rPr>
        <w:t>元/人/次。</w:t>
      </w:r>
    </w:p>
    <w:p>
      <w:pPr>
        <w:pStyle w:val="18"/>
        <w:numPr>
          <w:ilvl w:val="0"/>
          <w:numId w:val="8"/>
        </w:numPr>
        <w:spacing w:line="560" w:lineRule="exact"/>
        <w:ind w:left="0" w:firstLine="558" w:firstLineChars="0"/>
        <w:rPr>
          <w:rFonts w:eastAsia="仿宋_GB2312"/>
          <w:sz w:val="28"/>
          <w:szCs w:val="28"/>
          <w:highlight w:val="none"/>
        </w:rPr>
      </w:pPr>
      <w:r>
        <w:rPr>
          <w:rFonts w:eastAsia="仿宋_GB2312"/>
          <w:sz w:val="28"/>
          <w:szCs w:val="28"/>
          <w:highlight w:val="none"/>
        </w:rPr>
        <w:t>乙方应保证项目组人员为乙方员工，与乙方具有正式的劳动合同关系，否则，甲方有权要求更换项目组成员，并处以违约金</w:t>
      </w:r>
      <w:r>
        <w:rPr>
          <w:rFonts w:eastAsia="仿宋_GB2312"/>
          <w:sz w:val="28"/>
          <w:szCs w:val="28"/>
          <w:highlight w:val="none"/>
          <w:u w:val="single"/>
        </w:rPr>
        <w:t xml:space="preserve"> ¥2000 </w:t>
      </w:r>
      <w:r>
        <w:rPr>
          <w:rFonts w:eastAsia="仿宋_GB2312"/>
          <w:sz w:val="28"/>
          <w:szCs w:val="28"/>
          <w:highlight w:val="none"/>
        </w:rPr>
        <w:t>元</w:t>
      </w:r>
      <w:r>
        <w:rPr>
          <w:rFonts w:hint="eastAsia" w:eastAsia="仿宋_GB2312"/>
          <w:sz w:val="28"/>
          <w:szCs w:val="28"/>
          <w:highlight w:val="none"/>
        </w:rPr>
        <w:t>/人/次</w:t>
      </w:r>
      <w:r>
        <w:rPr>
          <w:rFonts w:eastAsia="仿宋_GB2312"/>
          <w:sz w:val="28"/>
          <w:szCs w:val="28"/>
          <w:highlight w:val="none"/>
        </w:rPr>
        <w:t>，若乙方不能在甲方要求的时间内更换满足甲方要求的人员的，甲方有权解除本合同。</w:t>
      </w:r>
    </w:p>
    <w:p>
      <w:pPr>
        <w:pStyle w:val="18"/>
        <w:numPr>
          <w:ilvl w:val="0"/>
          <w:numId w:val="8"/>
        </w:numPr>
        <w:spacing w:line="560" w:lineRule="exact"/>
        <w:ind w:left="0" w:firstLine="558" w:firstLineChars="0"/>
        <w:rPr>
          <w:rFonts w:eastAsia="仿宋_GB2312"/>
          <w:sz w:val="28"/>
          <w:szCs w:val="28"/>
          <w:highlight w:val="none"/>
        </w:rPr>
      </w:pPr>
      <w:r>
        <w:rPr>
          <w:rFonts w:eastAsia="仿宋_GB2312"/>
          <w:sz w:val="28"/>
          <w:szCs w:val="28"/>
          <w:highlight w:val="none"/>
        </w:rPr>
        <w:t>若甲方发现乙方项目组人员不能胜任工作的，甲方有权要求乙方更换相应人员。若乙方不能在甲方要求的时间内更换人员的，处以违约金</w:t>
      </w:r>
      <w:r>
        <w:rPr>
          <w:rFonts w:eastAsia="仿宋_GB2312"/>
          <w:sz w:val="28"/>
          <w:szCs w:val="28"/>
          <w:highlight w:val="none"/>
          <w:u w:val="single"/>
        </w:rPr>
        <w:t>¥2000</w:t>
      </w:r>
      <w:r>
        <w:rPr>
          <w:rFonts w:eastAsia="仿宋_GB2312"/>
          <w:sz w:val="28"/>
          <w:szCs w:val="28"/>
          <w:highlight w:val="none"/>
        </w:rPr>
        <w:t>元</w:t>
      </w:r>
      <w:r>
        <w:rPr>
          <w:rFonts w:hint="eastAsia" w:eastAsia="仿宋_GB2312"/>
          <w:sz w:val="28"/>
          <w:szCs w:val="28"/>
          <w:highlight w:val="none"/>
        </w:rPr>
        <w:t>/人/次</w:t>
      </w:r>
      <w:r>
        <w:rPr>
          <w:rFonts w:eastAsia="仿宋_GB2312"/>
          <w:sz w:val="28"/>
          <w:szCs w:val="28"/>
          <w:highlight w:val="none"/>
        </w:rPr>
        <w:t>且甲方有权解除本合同。</w:t>
      </w:r>
    </w:p>
    <w:p>
      <w:pPr>
        <w:pStyle w:val="18"/>
        <w:numPr>
          <w:ilvl w:val="0"/>
          <w:numId w:val="8"/>
        </w:numPr>
        <w:spacing w:line="560" w:lineRule="exact"/>
        <w:ind w:left="0" w:firstLine="558" w:firstLineChars="0"/>
        <w:rPr>
          <w:rFonts w:eastAsia="仿宋_GB2312"/>
          <w:sz w:val="28"/>
          <w:szCs w:val="28"/>
          <w:highlight w:val="none"/>
        </w:rPr>
      </w:pPr>
      <w:r>
        <w:rPr>
          <w:rFonts w:eastAsia="仿宋_GB2312"/>
          <w:sz w:val="28"/>
          <w:szCs w:val="28"/>
          <w:highlight w:val="none"/>
        </w:rPr>
        <w:t>甲方应在项目启动前成立甲方项目组，负责对接项目工作和项目成果的内部实施推进工作。</w:t>
      </w:r>
    </w:p>
    <w:p>
      <w:pPr>
        <w:pStyle w:val="18"/>
        <w:numPr>
          <w:ilvl w:val="0"/>
          <w:numId w:val="5"/>
        </w:numPr>
        <w:spacing w:line="560" w:lineRule="exact"/>
        <w:ind w:left="0" w:firstLine="558" w:firstLineChars="0"/>
        <w:rPr>
          <w:rFonts w:eastAsia="仿宋_GB2312"/>
          <w:sz w:val="28"/>
          <w:szCs w:val="28"/>
          <w:highlight w:val="none"/>
        </w:rPr>
      </w:pPr>
      <w:r>
        <w:rPr>
          <w:rFonts w:eastAsia="仿宋_GB2312"/>
          <w:sz w:val="28"/>
          <w:szCs w:val="28"/>
          <w:highlight w:val="none"/>
        </w:rPr>
        <w:t>甲方责任</w:t>
      </w:r>
    </w:p>
    <w:p>
      <w:pPr>
        <w:pStyle w:val="18"/>
        <w:numPr>
          <w:ilvl w:val="0"/>
          <w:numId w:val="9"/>
        </w:numPr>
        <w:spacing w:line="560" w:lineRule="exact"/>
        <w:ind w:left="0" w:firstLine="558" w:firstLineChars="0"/>
        <w:rPr>
          <w:rFonts w:eastAsia="仿宋_GB2312"/>
          <w:sz w:val="28"/>
          <w:szCs w:val="28"/>
          <w:highlight w:val="none"/>
        </w:rPr>
      </w:pPr>
      <w:r>
        <w:rPr>
          <w:rFonts w:eastAsia="仿宋_GB2312"/>
          <w:sz w:val="28"/>
          <w:szCs w:val="28"/>
          <w:highlight w:val="none"/>
        </w:rPr>
        <w:t>为乙方提供完成委托事项所需的相关数据、资料和文件，并保证它们的及时性、真实性和完整性。</w:t>
      </w:r>
    </w:p>
    <w:p>
      <w:pPr>
        <w:numPr>
          <w:ilvl w:val="0"/>
          <w:numId w:val="9"/>
        </w:numPr>
        <w:spacing w:line="360" w:lineRule="auto"/>
        <w:ind w:left="0" w:firstLine="558"/>
        <w:rPr>
          <w:rFonts w:eastAsia="仿宋_GB2312"/>
          <w:sz w:val="28"/>
          <w:szCs w:val="28"/>
          <w:highlight w:val="none"/>
        </w:rPr>
      </w:pPr>
      <w:r>
        <w:rPr>
          <w:rFonts w:eastAsia="仿宋_GB2312"/>
          <w:sz w:val="28"/>
          <w:szCs w:val="28"/>
          <w:highlight w:val="none"/>
        </w:rPr>
        <w:t>按本合同有关条款规定按时向乙方支付管理咨询费。</w:t>
      </w:r>
    </w:p>
    <w:p>
      <w:pPr>
        <w:numPr>
          <w:ilvl w:val="0"/>
          <w:numId w:val="9"/>
        </w:numPr>
        <w:spacing w:line="360" w:lineRule="auto"/>
        <w:ind w:left="0" w:firstLine="558"/>
        <w:rPr>
          <w:rFonts w:eastAsia="仿宋_GB2312"/>
          <w:sz w:val="28"/>
          <w:szCs w:val="28"/>
          <w:highlight w:val="none"/>
        </w:rPr>
      </w:pPr>
      <w:r>
        <w:rPr>
          <w:rFonts w:eastAsia="仿宋_GB2312"/>
          <w:sz w:val="28"/>
          <w:szCs w:val="28"/>
          <w:highlight w:val="none"/>
        </w:rPr>
        <w:t>甲方负责提供乙方工作所必需的办公条件</w:t>
      </w:r>
      <w:r>
        <w:rPr>
          <w:rFonts w:hint="eastAsia" w:eastAsia="仿宋_GB2312"/>
          <w:sz w:val="28"/>
          <w:szCs w:val="28"/>
          <w:highlight w:val="none"/>
        </w:rPr>
        <w:t>，相关费用由乙方承担</w:t>
      </w:r>
      <w:r>
        <w:rPr>
          <w:rFonts w:eastAsia="仿宋_GB2312"/>
          <w:sz w:val="28"/>
          <w:szCs w:val="28"/>
          <w:highlight w:val="none"/>
        </w:rPr>
        <w:t>。</w:t>
      </w:r>
    </w:p>
    <w:p>
      <w:pPr>
        <w:numPr>
          <w:ilvl w:val="0"/>
          <w:numId w:val="9"/>
        </w:numPr>
        <w:spacing w:line="360" w:lineRule="auto"/>
        <w:ind w:left="0" w:firstLine="558"/>
        <w:rPr>
          <w:rFonts w:eastAsia="仿宋_GB2312"/>
          <w:sz w:val="28"/>
          <w:szCs w:val="28"/>
          <w:highlight w:val="none"/>
        </w:rPr>
      </w:pPr>
      <w:r>
        <w:rPr>
          <w:rFonts w:eastAsia="仿宋_GB2312"/>
          <w:sz w:val="28"/>
          <w:szCs w:val="28"/>
          <w:highlight w:val="none"/>
        </w:rPr>
        <w:t>协同乙方咨询项目小组制定工作计划、组成对接项目小组，督促甲方有关人员全力配合项目工作的推进。</w:t>
      </w:r>
    </w:p>
    <w:p>
      <w:pPr>
        <w:numPr>
          <w:ilvl w:val="0"/>
          <w:numId w:val="9"/>
        </w:numPr>
        <w:spacing w:line="360" w:lineRule="auto"/>
        <w:ind w:left="0" w:firstLine="558"/>
        <w:rPr>
          <w:rFonts w:eastAsia="仿宋_GB2312"/>
          <w:sz w:val="28"/>
          <w:szCs w:val="28"/>
          <w:highlight w:val="none"/>
        </w:rPr>
      </w:pPr>
      <w:r>
        <w:rPr>
          <w:rFonts w:eastAsia="仿宋_GB2312"/>
          <w:sz w:val="28"/>
          <w:szCs w:val="28"/>
          <w:highlight w:val="none"/>
        </w:rPr>
        <w:t>若项目涉及培训，需要制作相应的书面培训资料供受训人员参考学习时，乙方提供电子版资料，甲方负责按需要制作并分发培训资料给受训人员。</w:t>
      </w:r>
    </w:p>
    <w:p>
      <w:pPr>
        <w:pStyle w:val="18"/>
        <w:numPr>
          <w:ilvl w:val="0"/>
          <w:numId w:val="5"/>
        </w:numPr>
        <w:spacing w:line="560" w:lineRule="exact"/>
        <w:ind w:left="0" w:firstLine="558" w:firstLineChars="0"/>
        <w:rPr>
          <w:rFonts w:eastAsia="仿宋_GB2312"/>
          <w:sz w:val="28"/>
          <w:szCs w:val="28"/>
          <w:highlight w:val="none"/>
        </w:rPr>
      </w:pPr>
      <w:r>
        <w:rPr>
          <w:rFonts w:eastAsia="仿宋_GB2312"/>
          <w:sz w:val="28"/>
          <w:szCs w:val="28"/>
          <w:highlight w:val="none"/>
        </w:rPr>
        <w:t>乙方责任</w:t>
      </w:r>
    </w:p>
    <w:p>
      <w:pPr>
        <w:pStyle w:val="18"/>
        <w:numPr>
          <w:ilvl w:val="0"/>
          <w:numId w:val="10"/>
        </w:numPr>
        <w:spacing w:line="560" w:lineRule="exact"/>
        <w:ind w:left="0" w:firstLine="558" w:firstLineChars="0"/>
        <w:rPr>
          <w:rFonts w:eastAsia="仿宋_GB2312"/>
          <w:sz w:val="28"/>
          <w:szCs w:val="28"/>
          <w:highlight w:val="none"/>
        </w:rPr>
      </w:pPr>
      <w:r>
        <w:rPr>
          <w:rFonts w:eastAsia="仿宋_GB2312"/>
          <w:sz w:val="28"/>
          <w:szCs w:val="28"/>
          <w:highlight w:val="none"/>
        </w:rPr>
        <w:t>按照合同约定向甲方提供切实可行并经甲方认可的咨询服务成果。</w:t>
      </w:r>
    </w:p>
    <w:p>
      <w:pPr>
        <w:pStyle w:val="18"/>
        <w:numPr>
          <w:ilvl w:val="0"/>
          <w:numId w:val="10"/>
        </w:numPr>
        <w:spacing w:line="560" w:lineRule="exact"/>
        <w:ind w:left="0" w:firstLine="558" w:firstLineChars="0"/>
        <w:rPr>
          <w:rFonts w:eastAsia="仿宋_GB2312"/>
          <w:sz w:val="28"/>
          <w:szCs w:val="28"/>
          <w:highlight w:val="none"/>
        </w:rPr>
      </w:pPr>
      <w:r>
        <w:rPr>
          <w:rFonts w:eastAsia="仿宋_GB2312"/>
          <w:sz w:val="28"/>
          <w:szCs w:val="28"/>
          <w:highlight w:val="none"/>
        </w:rPr>
        <w:t>按照合同要求保质保量完成咨询服务成果及其他工作内容。</w:t>
      </w:r>
    </w:p>
    <w:p>
      <w:pPr>
        <w:pStyle w:val="18"/>
        <w:numPr>
          <w:ilvl w:val="0"/>
          <w:numId w:val="10"/>
        </w:numPr>
        <w:spacing w:line="560" w:lineRule="exact"/>
        <w:ind w:left="0" w:firstLine="558" w:firstLineChars="0"/>
        <w:rPr>
          <w:rFonts w:eastAsia="仿宋_GB2312"/>
          <w:sz w:val="28"/>
          <w:szCs w:val="28"/>
          <w:highlight w:val="none"/>
        </w:rPr>
      </w:pPr>
      <w:r>
        <w:rPr>
          <w:rFonts w:eastAsia="仿宋_GB2312"/>
          <w:sz w:val="28"/>
          <w:szCs w:val="28"/>
          <w:highlight w:val="none"/>
        </w:rPr>
        <w:t>要与甲方保持及时沟通，对甲方提出的要求和意见予以及时响应。</w:t>
      </w:r>
    </w:p>
    <w:p>
      <w:pPr>
        <w:pStyle w:val="18"/>
        <w:numPr>
          <w:ilvl w:val="0"/>
          <w:numId w:val="10"/>
        </w:numPr>
        <w:spacing w:line="560" w:lineRule="exact"/>
        <w:ind w:left="0" w:firstLine="558" w:firstLineChars="0"/>
        <w:rPr>
          <w:rFonts w:eastAsia="仿宋_GB2312"/>
          <w:sz w:val="28"/>
          <w:szCs w:val="28"/>
          <w:highlight w:val="none"/>
        </w:rPr>
      </w:pPr>
      <w:r>
        <w:rPr>
          <w:rFonts w:eastAsia="仿宋_GB2312"/>
          <w:sz w:val="28"/>
          <w:szCs w:val="28"/>
          <w:highlight w:val="none"/>
        </w:rPr>
        <w:t>记录项目运作过程中的所有活动，并在甲方需要的时候随时提供这些活动记录。</w:t>
      </w:r>
    </w:p>
    <w:p>
      <w:pPr>
        <w:pStyle w:val="18"/>
        <w:numPr>
          <w:ilvl w:val="0"/>
          <w:numId w:val="10"/>
        </w:numPr>
        <w:spacing w:line="560" w:lineRule="exact"/>
        <w:ind w:left="0" w:firstLine="558" w:firstLineChars="0"/>
        <w:rPr>
          <w:rFonts w:eastAsia="仿宋_GB2312"/>
          <w:sz w:val="28"/>
          <w:szCs w:val="28"/>
          <w:highlight w:val="none"/>
        </w:rPr>
      </w:pPr>
      <w:r>
        <w:rPr>
          <w:rFonts w:eastAsia="仿宋_GB2312"/>
          <w:sz w:val="28"/>
          <w:szCs w:val="28"/>
          <w:highlight w:val="none"/>
        </w:rPr>
        <w:t>根据项目推进需求，提供方案设计相关培训和宣讲。</w:t>
      </w:r>
    </w:p>
    <w:p>
      <w:pPr>
        <w:pStyle w:val="18"/>
        <w:numPr>
          <w:ilvl w:val="0"/>
          <w:numId w:val="10"/>
        </w:numPr>
        <w:spacing w:line="560" w:lineRule="exact"/>
        <w:ind w:left="0" w:firstLine="558" w:firstLineChars="0"/>
        <w:rPr>
          <w:rFonts w:eastAsia="仿宋_GB2312"/>
          <w:sz w:val="28"/>
          <w:szCs w:val="28"/>
          <w:highlight w:val="none"/>
        </w:rPr>
      </w:pPr>
      <w:r>
        <w:rPr>
          <w:rFonts w:eastAsia="仿宋_GB2312"/>
          <w:sz w:val="28"/>
          <w:szCs w:val="28"/>
          <w:highlight w:val="none"/>
        </w:rPr>
        <w:t>自行承担约定服务期内的交通往返费和食宿费以及承担乙方人员在提供服务过程中的人身、财产安全风险。</w:t>
      </w:r>
      <w:r>
        <w:rPr>
          <w:rFonts w:hint="eastAsia" w:eastAsia="仿宋_GB2312"/>
          <w:sz w:val="28"/>
          <w:szCs w:val="28"/>
          <w:highlight w:val="none"/>
          <w:lang w:eastAsia="zh-Hans"/>
        </w:rPr>
        <w:t>本</w:t>
      </w:r>
      <w:r>
        <w:rPr>
          <w:rFonts w:hint="eastAsia" w:eastAsia="仿宋_GB2312"/>
          <w:sz w:val="28"/>
          <w:szCs w:val="28"/>
          <w:highlight w:val="none"/>
        </w:rPr>
        <w:t>项目所涉及的人员管理以及风险责任均由乙方承担。</w:t>
      </w:r>
      <w:r>
        <w:rPr>
          <w:rFonts w:hint="eastAsia" w:eastAsia="仿宋_GB2312"/>
          <w:sz w:val="28"/>
          <w:szCs w:val="28"/>
          <w:highlight w:val="none"/>
          <w:lang w:eastAsia="zh-Hans"/>
        </w:rPr>
        <w:t>本</w:t>
      </w:r>
      <w:r>
        <w:rPr>
          <w:rFonts w:hint="eastAsia" w:eastAsia="仿宋_GB2312"/>
          <w:sz w:val="28"/>
          <w:szCs w:val="28"/>
          <w:highlight w:val="none"/>
        </w:rPr>
        <w:t>项目实施过程中包括但不限于人员薪酬待遇、社保和公积金单位缴纳部分、培训教育费、残疾人保障金、工伤（亡）风险金、因病或非因工员工的医疗期补偿、因病或非因工员工离职的医疗补助费、经济补偿风险金以及</w:t>
      </w:r>
      <w:r>
        <w:rPr>
          <w:rFonts w:hint="eastAsia" w:eastAsia="仿宋_GB2312"/>
          <w:sz w:val="28"/>
          <w:szCs w:val="28"/>
          <w:highlight w:val="none"/>
          <w:lang w:eastAsia="zh-Hans"/>
        </w:rPr>
        <w:t>本项目</w:t>
      </w:r>
      <w:r>
        <w:rPr>
          <w:rFonts w:hint="eastAsia" w:eastAsia="仿宋_GB2312"/>
          <w:sz w:val="28"/>
          <w:szCs w:val="28"/>
          <w:highlight w:val="none"/>
        </w:rPr>
        <w:t>人员劳动争议、工伤工亡、经济补偿等用工风险的法律和经济责任均由乙方承担。</w:t>
      </w:r>
    </w:p>
    <w:p>
      <w:pPr>
        <w:pStyle w:val="18"/>
        <w:numPr>
          <w:ilvl w:val="0"/>
          <w:numId w:val="10"/>
        </w:numPr>
        <w:spacing w:line="560" w:lineRule="exact"/>
        <w:ind w:left="0" w:firstLine="558" w:firstLineChars="0"/>
        <w:rPr>
          <w:rFonts w:eastAsia="仿宋_GB2312"/>
          <w:sz w:val="28"/>
          <w:szCs w:val="28"/>
          <w:highlight w:val="none"/>
        </w:rPr>
      </w:pPr>
      <w:r>
        <w:rPr>
          <w:rFonts w:eastAsia="仿宋_GB2312"/>
          <w:sz w:val="28"/>
          <w:szCs w:val="28"/>
          <w:highlight w:val="none"/>
        </w:rPr>
        <w:t>未经甲方同意，不得将本合同转让给任何第三方。</w:t>
      </w:r>
    </w:p>
    <w:p>
      <w:pPr>
        <w:pStyle w:val="18"/>
        <w:numPr>
          <w:ilvl w:val="0"/>
          <w:numId w:val="10"/>
        </w:numPr>
        <w:spacing w:line="560" w:lineRule="exact"/>
        <w:ind w:left="0" w:firstLine="558" w:firstLineChars="0"/>
        <w:rPr>
          <w:rFonts w:eastAsia="仿宋_GB2312"/>
          <w:sz w:val="28"/>
          <w:szCs w:val="28"/>
          <w:highlight w:val="none"/>
        </w:rPr>
      </w:pPr>
      <w:r>
        <w:rPr>
          <w:rFonts w:eastAsia="仿宋_GB2312"/>
          <w:sz w:val="28"/>
          <w:szCs w:val="28"/>
          <w:highlight w:val="none"/>
        </w:rPr>
        <w:t>乙方提交的工作成果未经甲方验收合格，乙方应当负责整改直至合格。若经两次整改仍然不能满足甲方要求，或者甲方认为乙方指派的项目人员无法胜任工作经更换后仍然不能胜任工作的，甲方有权解除本合同。</w:t>
      </w:r>
    </w:p>
    <w:p>
      <w:pPr>
        <w:pStyle w:val="18"/>
        <w:numPr>
          <w:ilvl w:val="0"/>
          <w:numId w:val="5"/>
        </w:numPr>
        <w:spacing w:line="560" w:lineRule="exact"/>
        <w:ind w:left="0" w:firstLine="558" w:firstLineChars="0"/>
        <w:rPr>
          <w:rFonts w:eastAsia="仿宋_GB2312"/>
          <w:sz w:val="28"/>
          <w:szCs w:val="28"/>
          <w:highlight w:val="none"/>
        </w:rPr>
      </w:pPr>
      <w:r>
        <w:rPr>
          <w:rFonts w:eastAsia="仿宋_GB2312"/>
          <w:sz w:val="28"/>
          <w:szCs w:val="28"/>
          <w:highlight w:val="none"/>
        </w:rPr>
        <w:t>咨询服务成果的交付与验收</w:t>
      </w:r>
    </w:p>
    <w:p>
      <w:pPr>
        <w:pStyle w:val="18"/>
        <w:numPr>
          <w:ilvl w:val="0"/>
          <w:numId w:val="11"/>
        </w:numPr>
        <w:spacing w:line="560" w:lineRule="exact"/>
        <w:ind w:left="0" w:firstLine="558" w:firstLineChars="0"/>
        <w:rPr>
          <w:rFonts w:eastAsia="仿宋_GB2312"/>
          <w:sz w:val="28"/>
          <w:szCs w:val="28"/>
          <w:highlight w:val="none"/>
        </w:rPr>
      </w:pPr>
      <w:r>
        <w:rPr>
          <w:rFonts w:eastAsia="仿宋_GB2312"/>
          <w:sz w:val="28"/>
          <w:szCs w:val="28"/>
          <w:highlight w:val="none"/>
        </w:rPr>
        <w:t>乙方在每一个阶段工作前，须以书面形式并采用定性或定量的方式向甲方提供该阶段工作的计划及成果描述，并经甲方确认并签署备忘录后再进行该阶段工作。</w:t>
      </w:r>
    </w:p>
    <w:p>
      <w:pPr>
        <w:pStyle w:val="18"/>
        <w:numPr>
          <w:ilvl w:val="0"/>
          <w:numId w:val="11"/>
        </w:numPr>
        <w:spacing w:line="560" w:lineRule="exact"/>
        <w:ind w:left="0" w:firstLine="558" w:firstLineChars="0"/>
        <w:rPr>
          <w:rFonts w:eastAsia="仿宋_GB2312"/>
          <w:sz w:val="28"/>
          <w:szCs w:val="28"/>
          <w:highlight w:val="none"/>
        </w:rPr>
      </w:pPr>
      <w:r>
        <w:rPr>
          <w:rFonts w:eastAsia="仿宋_GB2312"/>
          <w:sz w:val="28"/>
          <w:szCs w:val="28"/>
          <w:highlight w:val="none"/>
        </w:rPr>
        <w:t>阶段性咨询服务成果或最终成果完成之后，乙方须以书面文本和电子文本向甲方提交。</w:t>
      </w:r>
    </w:p>
    <w:p>
      <w:pPr>
        <w:pStyle w:val="18"/>
        <w:numPr>
          <w:ilvl w:val="0"/>
          <w:numId w:val="11"/>
        </w:numPr>
        <w:spacing w:line="560" w:lineRule="exact"/>
        <w:ind w:left="0" w:firstLine="558" w:firstLineChars="0"/>
        <w:rPr>
          <w:rFonts w:eastAsia="仿宋_GB2312"/>
          <w:sz w:val="28"/>
          <w:szCs w:val="28"/>
          <w:highlight w:val="none"/>
        </w:rPr>
      </w:pPr>
      <w:r>
        <w:rPr>
          <w:rFonts w:eastAsia="仿宋_GB2312"/>
          <w:sz w:val="28"/>
          <w:szCs w:val="28"/>
          <w:highlight w:val="none"/>
        </w:rPr>
        <w:t>甲方应在</w:t>
      </w:r>
      <w:r>
        <w:rPr>
          <w:rFonts w:hint="eastAsia" w:eastAsia="仿宋_GB2312"/>
          <w:sz w:val="28"/>
          <w:szCs w:val="28"/>
          <w:highlight w:val="none"/>
        </w:rPr>
        <w:t>10</w:t>
      </w:r>
      <w:r>
        <w:rPr>
          <w:rFonts w:eastAsia="仿宋_GB2312"/>
          <w:sz w:val="28"/>
          <w:szCs w:val="28"/>
          <w:highlight w:val="none"/>
        </w:rPr>
        <w:t>个工作日内对乙方提交的阶段性咨询服务成果或最终成果提出书面意见，双方达成一致后，由甲方向乙方出具验收合格确认书。若经过甲方验收不合格的，乙方应当在5个工作日之内立即修正，逾期未修正视为违约，甲方有权停止支付下一期应付款并追究乙方违约责任。</w:t>
      </w:r>
    </w:p>
    <w:p>
      <w:pPr>
        <w:pStyle w:val="18"/>
        <w:numPr>
          <w:ilvl w:val="0"/>
          <w:numId w:val="11"/>
        </w:numPr>
        <w:spacing w:line="560" w:lineRule="exact"/>
        <w:ind w:left="0" w:firstLine="558" w:firstLineChars="0"/>
        <w:rPr>
          <w:rFonts w:eastAsia="仿宋_GB2312"/>
          <w:sz w:val="28"/>
          <w:szCs w:val="28"/>
          <w:highlight w:val="none"/>
        </w:rPr>
      </w:pPr>
      <w:r>
        <w:rPr>
          <w:rFonts w:eastAsia="仿宋_GB2312"/>
          <w:sz w:val="28"/>
          <w:szCs w:val="28"/>
          <w:highlight w:val="none"/>
        </w:rPr>
        <w:t>以甲方向乙方出具的最终成果验收合格确认书之日起12个自然月后</w:t>
      </w:r>
      <w:r>
        <w:rPr>
          <w:rFonts w:hint="eastAsia" w:eastAsia="仿宋_GB2312"/>
          <w:sz w:val="28"/>
          <w:szCs w:val="28"/>
          <w:highlight w:val="none"/>
        </w:rPr>
        <w:t>的</w:t>
      </w:r>
      <w:r>
        <w:rPr>
          <w:rFonts w:hint="eastAsia" w:eastAsia="仿宋_GB2312"/>
          <w:sz w:val="28"/>
          <w:szCs w:val="28"/>
          <w:highlight w:val="none"/>
          <w:lang w:val="en-US" w:eastAsia="zh-CN"/>
        </w:rPr>
        <w:t>10个工作</w:t>
      </w:r>
      <w:r>
        <w:rPr>
          <w:rFonts w:hint="eastAsia" w:eastAsia="仿宋_GB2312"/>
          <w:sz w:val="28"/>
          <w:szCs w:val="28"/>
          <w:highlight w:val="none"/>
        </w:rPr>
        <w:t>日内</w:t>
      </w:r>
      <w:r>
        <w:rPr>
          <w:rFonts w:eastAsia="仿宋_GB2312"/>
          <w:sz w:val="28"/>
          <w:szCs w:val="28"/>
          <w:highlight w:val="none"/>
        </w:rPr>
        <w:t>，乙方根据质保支撑期情况向甲方出具项目运行评估意见。</w:t>
      </w:r>
    </w:p>
    <w:p>
      <w:pPr>
        <w:pStyle w:val="18"/>
        <w:numPr>
          <w:ilvl w:val="0"/>
          <w:numId w:val="5"/>
        </w:numPr>
        <w:spacing w:line="560" w:lineRule="exact"/>
        <w:ind w:left="0" w:firstLine="558" w:firstLineChars="0"/>
        <w:rPr>
          <w:rFonts w:eastAsia="仿宋_GB2312"/>
          <w:sz w:val="28"/>
          <w:szCs w:val="28"/>
          <w:highlight w:val="none"/>
        </w:rPr>
      </w:pPr>
      <w:r>
        <w:rPr>
          <w:rFonts w:eastAsia="仿宋_GB2312"/>
          <w:sz w:val="28"/>
          <w:szCs w:val="28"/>
          <w:highlight w:val="none"/>
        </w:rPr>
        <w:t>咨询服务费用及付款安排</w:t>
      </w:r>
    </w:p>
    <w:p>
      <w:pPr>
        <w:pStyle w:val="18"/>
        <w:numPr>
          <w:ilvl w:val="0"/>
          <w:numId w:val="12"/>
        </w:numPr>
        <w:spacing w:line="560" w:lineRule="exact"/>
        <w:ind w:left="0" w:firstLine="558" w:firstLineChars="0"/>
        <w:rPr>
          <w:rFonts w:eastAsia="仿宋_GB2312"/>
          <w:sz w:val="28"/>
          <w:szCs w:val="28"/>
          <w:highlight w:val="none"/>
        </w:rPr>
      </w:pPr>
      <w:r>
        <w:rPr>
          <w:rFonts w:eastAsia="仿宋_GB2312"/>
          <w:sz w:val="28"/>
          <w:szCs w:val="28"/>
          <w:highlight w:val="none"/>
        </w:rPr>
        <w:t>本项目的咨询服务费用总额为</w:t>
      </w:r>
      <w:r>
        <w:rPr>
          <w:rFonts w:eastAsia="仿宋_GB2312"/>
          <w:sz w:val="28"/>
          <w:szCs w:val="28"/>
          <w:highlight w:val="none"/>
          <w:u w:val="single"/>
        </w:rPr>
        <w:t xml:space="preserve"> ¥       </w:t>
      </w:r>
      <w:r>
        <w:rPr>
          <w:rFonts w:eastAsia="仿宋_GB2312"/>
          <w:sz w:val="28"/>
          <w:szCs w:val="28"/>
          <w:highlight w:val="none"/>
        </w:rPr>
        <w:t>元人民币（大写：</w:t>
      </w:r>
      <w:r>
        <w:rPr>
          <w:rFonts w:eastAsia="仿宋_GB2312"/>
          <w:sz w:val="28"/>
          <w:szCs w:val="28"/>
          <w:highlight w:val="none"/>
          <w:u w:val="single"/>
        </w:rPr>
        <w:t xml:space="preserve">         </w:t>
      </w:r>
      <w:r>
        <w:rPr>
          <w:rFonts w:eastAsia="仿宋_GB2312"/>
          <w:sz w:val="28"/>
          <w:szCs w:val="28"/>
          <w:highlight w:val="none"/>
        </w:rPr>
        <w:t>），已包括所有的税金费用。</w:t>
      </w:r>
    </w:p>
    <w:p>
      <w:pPr>
        <w:pStyle w:val="18"/>
        <w:numPr>
          <w:ilvl w:val="0"/>
          <w:numId w:val="12"/>
        </w:numPr>
        <w:spacing w:line="560" w:lineRule="exact"/>
        <w:ind w:left="0" w:firstLine="558" w:firstLineChars="0"/>
        <w:rPr>
          <w:rFonts w:eastAsia="仿宋_GB2312"/>
          <w:sz w:val="28"/>
          <w:szCs w:val="28"/>
          <w:highlight w:val="none"/>
        </w:rPr>
      </w:pPr>
      <w:r>
        <w:rPr>
          <w:rFonts w:eastAsia="仿宋_GB2312"/>
          <w:sz w:val="28"/>
          <w:szCs w:val="28"/>
          <w:highlight w:val="none"/>
        </w:rPr>
        <w:t>具体付款进度：</w:t>
      </w:r>
    </w:p>
    <w:p>
      <w:pPr>
        <w:pStyle w:val="16"/>
        <w:numPr>
          <w:ilvl w:val="0"/>
          <w:numId w:val="13"/>
        </w:numPr>
        <w:spacing w:line="560" w:lineRule="exact"/>
        <w:ind w:left="0" w:firstLine="560"/>
        <w:rPr>
          <w:rFonts w:eastAsia="仿宋_GB2312"/>
          <w:sz w:val="28"/>
          <w:szCs w:val="28"/>
          <w:highlight w:val="none"/>
        </w:rPr>
      </w:pPr>
      <w:r>
        <w:rPr>
          <w:rFonts w:hint="eastAsia" w:eastAsia="仿宋_GB2312"/>
          <w:sz w:val="28"/>
          <w:szCs w:val="28"/>
          <w:highlight w:val="none"/>
        </w:rPr>
        <w:t>首期款：签订本合同后，甲方支付乙方项目总价的</w:t>
      </w:r>
      <w:r>
        <w:rPr>
          <w:rFonts w:eastAsia="仿宋_GB2312"/>
          <w:sz w:val="28"/>
          <w:szCs w:val="28"/>
          <w:highlight w:val="none"/>
        </w:rPr>
        <w:t>4</w:t>
      </w:r>
      <w:r>
        <w:rPr>
          <w:rFonts w:hint="eastAsia" w:eastAsia="仿宋_GB2312"/>
          <w:sz w:val="28"/>
          <w:szCs w:val="28"/>
          <w:highlight w:val="none"/>
        </w:rPr>
        <w:t xml:space="preserve">0%,计 </w:t>
      </w:r>
      <w:r>
        <w:rPr>
          <w:rFonts w:hint="eastAsia" w:ascii="微软雅黑" w:hAnsi="微软雅黑" w:eastAsia="微软雅黑" w:cs="宋体"/>
          <w:color w:val="333333"/>
          <w:kern w:val="0"/>
          <w:highlight w:val="none"/>
          <w:shd w:val="clear" w:color="auto" w:fill="FFFFFF"/>
        </w:rPr>
        <w:t>￥</w:t>
      </w:r>
      <w:r>
        <w:rPr>
          <w:rFonts w:eastAsia="仿宋_GB2312"/>
          <w:sz w:val="28"/>
          <w:szCs w:val="28"/>
          <w:highlight w:val="none"/>
          <w:u w:val="single"/>
        </w:rPr>
        <w:t xml:space="preserve">         </w:t>
      </w:r>
      <w:r>
        <w:rPr>
          <w:rFonts w:hint="eastAsia" w:eastAsia="仿宋_GB2312"/>
          <w:sz w:val="28"/>
          <w:szCs w:val="28"/>
          <w:highlight w:val="none"/>
        </w:rPr>
        <w:t>元（大写：）。</w:t>
      </w:r>
    </w:p>
    <w:p>
      <w:pPr>
        <w:pStyle w:val="16"/>
        <w:numPr>
          <w:ilvl w:val="0"/>
          <w:numId w:val="13"/>
        </w:numPr>
        <w:spacing w:line="560" w:lineRule="exact"/>
        <w:ind w:left="0" w:firstLine="560"/>
        <w:rPr>
          <w:rFonts w:eastAsia="仿宋_GB2312"/>
          <w:sz w:val="28"/>
          <w:szCs w:val="28"/>
          <w:highlight w:val="none"/>
        </w:rPr>
      </w:pPr>
      <w:r>
        <w:rPr>
          <w:rFonts w:hint="eastAsia" w:eastAsia="仿宋_GB2312"/>
          <w:sz w:val="28"/>
          <w:szCs w:val="28"/>
          <w:highlight w:val="none"/>
        </w:rPr>
        <w:t>项目二期款：乙方完成附件</w:t>
      </w:r>
      <w:r>
        <w:rPr>
          <w:rFonts w:hint="eastAsia" w:eastAsia="仿宋_GB2312"/>
          <w:sz w:val="28"/>
          <w:szCs w:val="28"/>
          <w:highlight w:val="none"/>
          <w:lang w:eastAsia="zh-CN"/>
        </w:rPr>
        <w:t>《</w:t>
      </w:r>
      <w:r>
        <w:rPr>
          <w:rFonts w:hint="eastAsia" w:eastAsia="仿宋_GB2312"/>
          <w:sz w:val="28"/>
          <w:szCs w:val="28"/>
          <w:highlight w:val="none"/>
        </w:rPr>
        <w:t>蜀道物流集团专业化整合人力资源项目咨询服务</w:t>
      </w:r>
      <w:r>
        <w:rPr>
          <w:rFonts w:hint="eastAsia" w:eastAsia="仿宋_GB2312"/>
          <w:sz w:val="28"/>
          <w:szCs w:val="28"/>
          <w:highlight w:val="none"/>
          <w:lang w:val="en-US" w:eastAsia="zh-CN"/>
        </w:rPr>
        <w:t>内容</w:t>
      </w:r>
      <w:r>
        <w:rPr>
          <w:rFonts w:hint="eastAsia" w:eastAsia="仿宋_GB2312"/>
          <w:sz w:val="28"/>
          <w:szCs w:val="28"/>
          <w:highlight w:val="none"/>
          <w:lang w:eastAsia="zh-CN"/>
        </w:rPr>
        <w:t>》</w:t>
      </w:r>
      <w:r>
        <w:rPr>
          <w:rFonts w:hint="eastAsia" w:eastAsia="仿宋_GB2312"/>
          <w:sz w:val="28"/>
          <w:szCs w:val="28"/>
          <w:highlight w:val="none"/>
        </w:rPr>
        <w:t>工作内容，提交书面成果并经甲方通过后，甲方支付项目总价的5</w:t>
      </w:r>
      <w:r>
        <w:rPr>
          <w:rFonts w:eastAsia="仿宋_GB2312"/>
          <w:sz w:val="28"/>
          <w:szCs w:val="28"/>
          <w:highlight w:val="none"/>
        </w:rPr>
        <w:t>0</w:t>
      </w:r>
      <w:r>
        <w:rPr>
          <w:rFonts w:hint="eastAsia" w:eastAsia="仿宋_GB2312"/>
          <w:sz w:val="28"/>
          <w:szCs w:val="28"/>
          <w:highlight w:val="none"/>
        </w:rPr>
        <w:t xml:space="preserve">%，计 </w:t>
      </w:r>
      <w:r>
        <w:rPr>
          <w:rFonts w:hint="eastAsia" w:ascii="微软雅黑" w:hAnsi="微软雅黑" w:eastAsia="微软雅黑" w:cs="宋体"/>
          <w:color w:val="333333"/>
          <w:kern w:val="0"/>
          <w:highlight w:val="none"/>
          <w:shd w:val="clear" w:color="auto" w:fill="FFFFFF"/>
        </w:rPr>
        <w:t>￥</w:t>
      </w:r>
      <w:r>
        <w:rPr>
          <w:rFonts w:eastAsia="仿宋_GB2312"/>
          <w:sz w:val="28"/>
          <w:szCs w:val="28"/>
          <w:highlight w:val="none"/>
          <w:u w:val="single"/>
        </w:rPr>
        <w:t xml:space="preserve">         </w:t>
      </w:r>
      <w:r>
        <w:rPr>
          <w:rFonts w:hint="eastAsia" w:eastAsia="仿宋_GB2312"/>
          <w:sz w:val="28"/>
          <w:szCs w:val="28"/>
          <w:highlight w:val="none"/>
        </w:rPr>
        <w:t>元（大写：）。</w:t>
      </w:r>
    </w:p>
    <w:p>
      <w:pPr>
        <w:pStyle w:val="16"/>
        <w:numPr>
          <w:ilvl w:val="0"/>
          <w:numId w:val="13"/>
        </w:numPr>
        <w:spacing w:line="560" w:lineRule="exact"/>
        <w:ind w:left="0" w:firstLine="560"/>
        <w:rPr>
          <w:rFonts w:eastAsia="仿宋_GB2312"/>
          <w:sz w:val="28"/>
          <w:szCs w:val="28"/>
          <w:highlight w:val="none"/>
        </w:rPr>
      </w:pPr>
      <w:r>
        <w:rPr>
          <w:rFonts w:hint="eastAsia" w:eastAsia="仿宋_GB2312"/>
          <w:sz w:val="28"/>
          <w:szCs w:val="28"/>
          <w:highlight w:val="none"/>
        </w:rPr>
        <w:t>项目尾款：甲方向乙方出具最终成果验收合格确认书后，甲方支付合同约定的公司咨询服务费用总价的</w:t>
      </w:r>
      <w:r>
        <w:rPr>
          <w:rFonts w:eastAsia="仿宋_GB2312"/>
          <w:sz w:val="28"/>
          <w:szCs w:val="28"/>
          <w:highlight w:val="none"/>
        </w:rPr>
        <w:t>10%，计</w:t>
      </w:r>
      <w:r>
        <w:rPr>
          <w:rFonts w:hint="eastAsia" w:ascii="微软雅黑" w:hAnsi="微软雅黑" w:eastAsia="微软雅黑" w:cs="宋体"/>
          <w:color w:val="333333"/>
          <w:kern w:val="0"/>
          <w:highlight w:val="none"/>
          <w:shd w:val="clear" w:color="auto" w:fill="FFFFFF"/>
        </w:rPr>
        <w:t>￥</w:t>
      </w:r>
      <w:r>
        <w:rPr>
          <w:rFonts w:hint="eastAsia" w:eastAsia="仿宋_GB2312"/>
          <w:sz w:val="28"/>
          <w:szCs w:val="28"/>
          <w:highlight w:val="none"/>
          <w:u w:val="single"/>
        </w:rPr>
        <w:t xml:space="preserve"> </w:t>
      </w:r>
      <w:r>
        <w:rPr>
          <w:rFonts w:eastAsia="仿宋_GB2312"/>
          <w:sz w:val="28"/>
          <w:szCs w:val="28"/>
          <w:highlight w:val="none"/>
          <w:u w:val="single"/>
        </w:rPr>
        <w:t xml:space="preserve">        </w:t>
      </w:r>
      <w:r>
        <w:rPr>
          <w:rFonts w:hint="eastAsia" w:eastAsia="仿宋_GB2312"/>
          <w:sz w:val="28"/>
          <w:szCs w:val="28"/>
          <w:highlight w:val="none"/>
        </w:rPr>
        <w:t xml:space="preserve">元（大写： </w:t>
      </w:r>
      <w:r>
        <w:rPr>
          <w:rFonts w:eastAsia="仿宋_GB2312"/>
          <w:sz w:val="28"/>
          <w:szCs w:val="28"/>
          <w:highlight w:val="none"/>
        </w:rPr>
        <w:t xml:space="preserve">   </w:t>
      </w:r>
      <w:r>
        <w:rPr>
          <w:rFonts w:hint="eastAsia" w:eastAsia="仿宋_GB2312"/>
          <w:sz w:val="28"/>
          <w:szCs w:val="28"/>
          <w:highlight w:val="none"/>
        </w:rPr>
        <w:t>）。</w:t>
      </w:r>
    </w:p>
    <w:p>
      <w:pPr>
        <w:pStyle w:val="18"/>
        <w:numPr>
          <w:ilvl w:val="0"/>
          <w:numId w:val="12"/>
        </w:numPr>
        <w:spacing w:line="560" w:lineRule="exact"/>
        <w:ind w:left="0" w:firstLine="558" w:firstLineChars="0"/>
        <w:rPr>
          <w:rFonts w:eastAsia="仿宋_GB2312"/>
          <w:sz w:val="28"/>
          <w:szCs w:val="28"/>
          <w:highlight w:val="none"/>
        </w:rPr>
      </w:pPr>
      <w:r>
        <w:rPr>
          <w:rFonts w:eastAsia="仿宋_GB2312"/>
          <w:sz w:val="28"/>
          <w:szCs w:val="28"/>
          <w:highlight w:val="none"/>
        </w:rPr>
        <w:t>乙方提供增值税专用发票，开票名目为咨询服务费。</w:t>
      </w:r>
    </w:p>
    <w:p>
      <w:pPr>
        <w:pStyle w:val="18"/>
        <w:numPr>
          <w:ilvl w:val="0"/>
          <w:numId w:val="12"/>
        </w:numPr>
        <w:spacing w:line="560" w:lineRule="exact"/>
        <w:ind w:left="0" w:firstLine="558" w:firstLineChars="0"/>
        <w:rPr>
          <w:rFonts w:eastAsia="仿宋_GB2312"/>
          <w:sz w:val="28"/>
          <w:szCs w:val="28"/>
          <w:highlight w:val="none"/>
        </w:rPr>
      </w:pPr>
      <w:r>
        <w:rPr>
          <w:rFonts w:eastAsia="仿宋_GB2312"/>
          <w:sz w:val="28"/>
          <w:szCs w:val="28"/>
          <w:highlight w:val="none"/>
        </w:rPr>
        <w:t>乙方指定收款账户</w:t>
      </w:r>
    </w:p>
    <w:p>
      <w:pPr>
        <w:spacing w:line="560" w:lineRule="exact"/>
        <w:ind w:left="422" w:leftChars="201" w:firstLine="558"/>
        <w:rPr>
          <w:rFonts w:eastAsia="仿宋_GB2312"/>
          <w:sz w:val="28"/>
          <w:szCs w:val="28"/>
          <w:highlight w:val="none"/>
        </w:rPr>
      </w:pPr>
      <w:r>
        <w:rPr>
          <w:rFonts w:eastAsia="仿宋_GB2312"/>
          <w:sz w:val="28"/>
          <w:szCs w:val="28"/>
          <w:highlight w:val="none"/>
        </w:rPr>
        <w:t>开户单位：</w:t>
      </w:r>
    </w:p>
    <w:p>
      <w:pPr>
        <w:spacing w:line="560" w:lineRule="exact"/>
        <w:ind w:left="422" w:leftChars="201" w:firstLine="558"/>
        <w:rPr>
          <w:rFonts w:eastAsia="仿宋_GB2312"/>
          <w:sz w:val="28"/>
          <w:szCs w:val="28"/>
          <w:highlight w:val="none"/>
        </w:rPr>
      </w:pPr>
      <w:r>
        <w:rPr>
          <w:rFonts w:eastAsia="仿宋_GB2312"/>
          <w:sz w:val="28"/>
          <w:szCs w:val="28"/>
          <w:highlight w:val="none"/>
        </w:rPr>
        <w:t>开户银行：</w:t>
      </w:r>
    </w:p>
    <w:p>
      <w:pPr>
        <w:spacing w:line="560" w:lineRule="exact"/>
        <w:ind w:left="422" w:leftChars="201" w:firstLine="558"/>
        <w:rPr>
          <w:rFonts w:eastAsia="仿宋_GB2312"/>
          <w:sz w:val="28"/>
          <w:szCs w:val="28"/>
          <w:highlight w:val="none"/>
        </w:rPr>
      </w:pPr>
      <w:r>
        <w:rPr>
          <w:rFonts w:eastAsia="仿宋_GB2312"/>
          <w:sz w:val="28"/>
          <w:szCs w:val="28"/>
          <w:highlight w:val="none"/>
        </w:rPr>
        <w:t>银行账号：</w:t>
      </w:r>
    </w:p>
    <w:p>
      <w:pPr>
        <w:pStyle w:val="18"/>
        <w:numPr>
          <w:ilvl w:val="0"/>
          <w:numId w:val="5"/>
        </w:numPr>
        <w:spacing w:line="560" w:lineRule="exact"/>
        <w:ind w:left="0" w:firstLine="558" w:firstLineChars="0"/>
        <w:rPr>
          <w:rFonts w:eastAsia="仿宋_GB2312"/>
          <w:sz w:val="28"/>
          <w:szCs w:val="28"/>
          <w:highlight w:val="none"/>
        </w:rPr>
      </w:pPr>
      <w:r>
        <w:rPr>
          <w:rFonts w:eastAsia="仿宋_GB2312"/>
          <w:sz w:val="28"/>
          <w:szCs w:val="28"/>
          <w:highlight w:val="none"/>
        </w:rPr>
        <w:t>保密及知识产权约定</w:t>
      </w:r>
    </w:p>
    <w:p>
      <w:pPr>
        <w:pStyle w:val="18"/>
        <w:numPr>
          <w:ilvl w:val="0"/>
          <w:numId w:val="14"/>
        </w:numPr>
        <w:spacing w:line="560" w:lineRule="exact"/>
        <w:ind w:left="0" w:firstLine="558" w:firstLineChars="0"/>
        <w:rPr>
          <w:rFonts w:eastAsia="仿宋_GB2312"/>
          <w:sz w:val="28"/>
          <w:szCs w:val="28"/>
          <w:highlight w:val="none"/>
        </w:rPr>
      </w:pPr>
      <w:r>
        <w:rPr>
          <w:rFonts w:eastAsia="仿宋_GB2312"/>
          <w:sz w:val="28"/>
          <w:szCs w:val="28"/>
          <w:highlight w:val="none"/>
        </w:rPr>
        <w:t>乙方为签订和履行本合同向甲方提供的原知识产权归乙方所有的文件资料仍归乙方所有，乙方同意甲方免费自行使用，但未经乙方许可不得随意转让、赠与或许可他人使用。</w:t>
      </w:r>
    </w:p>
    <w:p>
      <w:pPr>
        <w:pStyle w:val="18"/>
        <w:numPr>
          <w:ilvl w:val="0"/>
          <w:numId w:val="14"/>
        </w:numPr>
        <w:spacing w:line="560" w:lineRule="exact"/>
        <w:ind w:left="0" w:firstLine="558" w:firstLineChars="0"/>
        <w:rPr>
          <w:rFonts w:eastAsia="仿宋_GB2312"/>
          <w:sz w:val="28"/>
          <w:szCs w:val="28"/>
          <w:highlight w:val="none"/>
        </w:rPr>
      </w:pPr>
      <w:r>
        <w:rPr>
          <w:rFonts w:eastAsia="仿宋_GB2312"/>
          <w:sz w:val="28"/>
          <w:szCs w:val="28"/>
          <w:highlight w:val="none"/>
        </w:rPr>
        <w:t>乙方在为甲方提供管理咨询服务的过程中，所获知的甲方有关信息或资料（包括但不仅限于甲方的财务信息、技术秘密、商业模式、员工工资等），均应严格保密。若因乙方原因造成以上信息泄密并给甲方带来相应损失，乙方应承担赔偿责任。</w:t>
      </w:r>
    </w:p>
    <w:p>
      <w:pPr>
        <w:pStyle w:val="18"/>
        <w:numPr>
          <w:ilvl w:val="0"/>
          <w:numId w:val="14"/>
        </w:numPr>
        <w:spacing w:line="560" w:lineRule="exact"/>
        <w:ind w:left="0" w:firstLine="558" w:firstLineChars="0"/>
        <w:rPr>
          <w:rFonts w:eastAsia="仿宋_GB2312"/>
          <w:sz w:val="28"/>
          <w:szCs w:val="28"/>
          <w:highlight w:val="none"/>
        </w:rPr>
      </w:pPr>
      <w:r>
        <w:rPr>
          <w:rFonts w:eastAsia="仿宋_GB2312"/>
          <w:sz w:val="28"/>
          <w:szCs w:val="28"/>
          <w:highlight w:val="none"/>
        </w:rPr>
        <w:t>乙方因签订和履行本合同所产生的专为提供给甲方的咨询服务成果</w:t>
      </w:r>
      <w:r>
        <w:rPr>
          <w:rFonts w:hint="eastAsia" w:eastAsia="仿宋_GB2312"/>
          <w:sz w:val="28"/>
          <w:szCs w:val="28"/>
          <w:highlight w:val="none"/>
        </w:rPr>
        <w:t>的知识产权与所有权</w:t>
      </w:r>
      <w:r>
        <w:rPr>
          <w:rFonts w:eastAsia="仿宋_GB2312"/>
          <w:sz w:val="28"/>
          <w:szCs w:val="28"/>
          <w:highlight w:val="none"/>
        </w:rPr>
        <w:t>归甲方所有。</w:t>
      </w:r>
    </w:p>
    <w:p>
      <w:pPr>
        <w:pStyle w:val="18"/>
        <w:numPr>
          <w:ilvl w:val="0"/>
          <w:numId w:val="14"/>
        </w:numPr>
        <w:spacing w:line="560" w:lineRule="exact"/>
        <w:ind w:left="0" w:firstLine="558" w:firstLineChars="0"/>
        <w:rPr>
          <w:rFonts w:eastAsia="仿宋_GB2312"/>
          <w:sz w:val="28"/>
          <w:szCs w:val="28"/>
          <w:highlight w:val="none"/>
        </w:rPr>
      </w:pPr>
      <w:r>
        <w:rPr>
          <w:rFonts w:eastAsia="仿宋_GB2312"/>
          <w:sz w:val="28"/>
          <w:szCs w:val="28"/>
          <w:highlight w:val="none"/>
        </w:rPr>
        <w:t>乙方保证，乙方向甲方提供的全部咨询服务成果没有侵犯任何第三方的知识产权及其他合法权益。如甲方因采用乙方提供的咨询服务成果而导致第三方向甲方提起有关侵权的诉讼或索赔的，乙方应自行承担费用负责解决该等侵权诉讼或索赔，并应赔偿由此给甲方造成的经济损失，同时乙方应自行承担费用积极采取补救措施，使提供的咨询服务成果不继续侵犯第三方权益并符合本合同。</w:t>
      </w:r>
    </w:p>
    <w:p>
      <w:pPr>
        <w:pStyle w:val="18"/>
        <w:numPr>
          <w:ilvl w:val="0"/>
          <w:numId w:val="14"/>
        </w:numPr>
        <w:spacing w:line="560" w:lineRule="exact"/>
        <w:ind w:left="0" w:firstLine="558" w:firstLineChars="0"/>
        <w:rPr>
          <w:rFonts w:eastAsia="仿宋_GB2312"/>
          <w:sz w:val="28"/>
          <w:szCs w:val="28"/>
          <w:highlight w:val="none"/>
        </w:rPr>
      </w:pPr>
      <w:r>
        <w:rPr>
          <w:rFonts w:eastAsia="仿宋_GB2312"/>
          <w:sz w:val="28"/>
          <w:szCs w:val="28"/>
          <w:highlight w:val="none"/>
        </w:rPr>
        <w:t>上述咨询服务成果包括但不限于形成的知识产权成果</w:t>
      </w:r>
      <w:r>
        <w:rPr>
          <w:rFonts w:hint="eastAsia" w:eastAsia="仿宋_GB2312"/>
          <w:sz w:val="28"/>
          <w:szCs w:val="28"/>
          <w:highlight w:val="none"/>
        </w:rPr>
        <w:t>，成果归属甲方。</w:t>
      </w:r>
    </w:p>
    <w:p>
      <w:pPr>
        <w:pStyle w:val="18"/>
        <w:numPr>
          <w:ilvl w:val="0"/>
          <w:numId w:val="5"/>
        </w:numPr>
        <w:spacing w:line="560" w:lineRule="exact"/>
        <w:ind w:left="0" w:firstLine="558" w:firstLineChars="0"/>
        <w:rPr>
          <w:rFonts w:eastAsia="仿宋_GB2312"/>
          <w:sz w:val="28"/>
          <w:szCs w:val="28"/>
          <w:highlight w:val="none"/>
        </w:rPr>
      </w:pPr>
      <w:r>
        <w:rPr>
          <w:rFonts w:eastAsia="仿宋_GB2312"/>
          <w:sz w:val="28"/>
          <w:szCs w:val="28"/>
          <w:highlight w:val="none"/>
        </w:rPr>
        <w:t>指定联系方式</w:t>
      </w:r>
    </w:p>
    <w:p>
      <w:pPr>
        <w:spacing w:line="560" w:lineRule="exact"/>
        <w:ind w:firstLine="565" w:firstLineChars="202"/>
        <w:rPr>
          <w:rFonts w:eastAsia="仿宋_GB2312"/>
          <w:sz w:val="28"/>
          <w:szCs w:val="28"/>
          <w:highlight w:val="none"/>
        </w:rPr>
      </w:pPr>
      <w:r>
        <w:rPr>
          <w:rFonts w:eastAsia="仿宋_GB2312"/>
          <w:sz w:val="28"/>
          <w:szCs w:val="28"/>
          <w:highlight w:val="none"/>
        </w:rPr>
        <w:t>双方约定以本合同载明的地址、邮编以及以下联系人作为指定联系方式，如联系方式发生变更，须提前通知对方，否则因此导致的邮件退回也视为已有效送达。</w:t>
      </w:r>
    </w:p>
    <w:p>
      <w:pPr>
        <w:spacing w:line="560" w:lineRule="exact"/>
        <w:ind w:firstLine="560" w:firstLineChars="200"/>
        <w:rPr>
          <w:rFonts w:eastAsia="仿宋_GB2312"/>
          <w:sz w:val="28"/>
          <w:szCs w:val="28"/>
          <w:highlight w:val="none"/>
        </w:rPr>
      </w:pPr>
      <w:r>
        <w:rPr>
          <w:rFonts w:eastAsia="仿宋_GB2312"/>
          <w:sz w:val="28"/>
          <w:szCs w:val="28"/>
          <w:highlight w:val="none"/>
        </w:rPr>
        <w:t>甲方联系人：</w:t>
      </w:r>
      <w:r>
        <w:rPr>
          <w:rFonts w:eastAsia="仿宋_GB2312"/>
          <w:sz w:val="28"/>
          <w:szCs w:val="28"/>
          <w:highlight w:val="none"/>
          <w:u w:val="single"/>
        </w:rPr>
        <w:t xml:space="preserve">          </w:t>
      </w:r>
      <w:r>
        <w:rPr>
          <w:rFonts w:eastAsia="仿宋_GB2312"/>
          <w:sz w:val="28"/>
          <w:szCs w:val="28"/>
          <w:highlight w:val="none"/>
        </w:rPr>
        <w:t>,联系电话：</w:t>
      </w:r>
      <w:r>
        <w:rPr>
          <w:rFonts w:eastAsia="仿宋_GB2312"/>
          <w:sz w:val="28"/>
          <w:szCs w:val="28"/>
          <w:highlight w:val="none"/>
          <w:u w:val="single"/>
        </w:rPr>
        <w:t xml:space="preserve">          </w:t>
      </w:r>
    </w:p>
    <w:p>
      <w:pPr>
        <w:spacing w:line="560" w:lineRule="exact"/>
        <w:ind w:firstLine="560" w:firstLineChars="200"/>
        <w:rPr>
          <w:rFonts w:eastAsia="仿宋_GB2312"/>
          <w:sz w:val="28"/>
          <w:szCs w:val="28"/>
          <w:highlight w:val="none"/>
          <w:u w:val="single"/>
        </w:rPr>
      </w:pPr>
      <w:r>
        <w:rPr>
          <w:rFonts w:eastAsia="仿宋_GB2312"/>
          <w:sz w:val="28"/>
          <w:szCs w:val="28"/>
          <w:highlight w:val="none"/>
        </w:rPr>
        <w:t>乙方联系人</w:t>
      </w:r>
      <w:r>
        <w:rPr>
          <w:rFonts w:eastAsia="仿宋_GB2312"/>
          <w:spacing w:val="-4"/>
          <w:sz w:val="28"/>
          <w:szCs w:val="28"/>
          <w:highlight w:val="none"/>
        </w:rPr>
        <w:t>：</w:t>
      </w:r>
      <w:r>
        <w:rPr>
          <w:rFonts w:eastAsia="仿宋_GB2312"/>
          <w:sz w:val="28"/>
          <w:szCs w:val="28"/>
          <w:highlight w:val="none"/>
          <w:u w:val="single"/>
        </w:rPr>
        <w:t xml:space="preserve">          </w:t>
      </w:r>
      <w:r>
        <w:rPr>
          <w:rFonts w:eastAsia="仿宋_GB2312"/>
          <w:spacing w:val="-4"/>
          <w:sz w:val="28"/>
          <w:szCs w:val="28"/>
          <w:highlight w:val="none"/>
        </w:rPr>
        <w:t>,</w:t>
      </w:r>
      <w:r>
        <w:rPr>
          <w:rFonts w:eastAsia="仿宋_GB2312"/>
          <w:sz w:val="28"/>
          <w:szCs w:val="28"/>
          <w:highlight w:val="none"/>
        </w:rPr>
        <w:t>联系电话：</w:t>
      </w:r>
      <w:r>
        <w:rPr>
          <w:rFonts w:eastAsia="仿宋_GB2312"/>
          <w:sz w:val="28"/>
          <w:szCs w:val="28"/>
          <w:highlight w:val="none"/>
          <w:u w:val="single"/>
        </w:rPr>
        <w:t xml:space="preserve"> </w:t>
      </w:r>
      <w:r>
        <w:rPr>
          <w:rFonts w:hint="eastAsia" w:eastAsia="仿宋_GB2312"/>
          <w:sz w:val="28"/>
          <w:szCs w:val="28"/>
          <w:highlight w:val="none"/>
          <w:u w:val="single"/>
        </w:rPr>
        <w:t xml:space="preserve"> </w:t>
      </w:r>
      <w:r>
        <w:rPr>
          <w:rFonts w:eastAsia="仿宋_GB2312"/>
          <w:sz w:val="28"/>
          <w:szCs w:val="28"/>
          <w:highlight w:val="none"/>
          <w:u w:val="single"/>
        </w:rPr>
        <w:t xml:space="preserve">        </w:t>
      </w:r>
    </w:p>
    <w:p>
      <w:pPr>
        <w:pStyle w:val="18"/>
        <w:numPr>
          <w:ilvl w:val="0"/>
          <w:numId w:val="5"/>
        </w:numPr>
        <w:spacing w:line="560" w:lineRule="exact"/>
        <w:ind w:left="0" w:firstLine="558" w:firstLineChars="0"/>
        <w:rPr>
          <w:rFonts w:eastAsia="仿宋_GB2312"/>
          <w:sz w:val="28"/>
          <w:szCs w:val="28"/>
          <w:highlight w:val="none"/>
        </w:rPr>
      </w:pPr>
      <w:r>
        <w:rPr>
          <w:rFonts w:eastAsia="仿宋_GB2312"/>
          <w:sz w:val="28"/>
          <w:szCs w:val="28"/>
          <w:highlight w:val="none"/>
        </w:rPr>
        <w:t>违约责任</w:t>
      </w:r>
    </w:p>
    <w:p>
      <w:pPr>
        <w:pStyle w:val="18"/>
        <w:spacing w:line="560" w:lineRule="exact"/>
        <w:ind w:firstLine="571" w:firstLineChars="204"/>
        <w:rPr>
          <w:rFonts w:eastAsia="仿宋_GB2312"/>
          <w:sz w:val="28"/>
          <w:szCs w:val="28"/>
          <w:highlight w:val="none"/>
        </w:rPr>
      </w:pPr>
      <w:r>
        <w:rPr>
          <w:rFonts w:eastAsia="仿宋_GB2312"/>
          <w:sz w:val="28"/>
          <w:szCs w:val="28"/>
          <w:highlight w:val="none"/>
        </w:rPr>
        <w:t>1.若因乙方自身原因，未能在约定日期前完成阶段成果或最终成果的，或者交付成果后未能验收合格且未在甲方要求期限内完成整改的，乙方应承担项目延误的违约责任，乙方需向甲方支付以合同标的金额为基数，按每日0.1%的标准计算的违约金。且甲方有权推迟支付相应款项至甲方验收通过乙方的阶段性成果或最终成果为止；乙方迟延达10日的，甲方有权提前解除本合同。</w:t>
      </w:r>
    </w:p>
    <w:p>
      <w:pPr>
        <w:pStyle w:val="18"/>
        <w:spacing w:line="560" w:lineRule="exact"/>
        <w:ind w:firstLine="571" w:firstLineChars="204"/>
        <w:rPr>
          <w:rFonts w:eastAsia="仿宋_GB2312"/>
          <w:sz w:val="28"/>
          <w:szCs w:val="28"/>
          <w:highlight w:val="none"/>
        </w:rPr>
      </w:pPr>
      <w:r>
        <w:rPr>
          <w:rFonts w:eastAsia="仿宋_GB2312"/>
          <w:sz w:val="28"/>
          <w:szCs w:val="28"/>
          <w:highlight w:val="none"/>
        </w:rPr>
        <w:t>2.若乙方咨询服务成果经双方认可完成后，甲方如不能按本合同约定向乙方支付咨询服务费用，甲方应承担应付而未付金额每日0.1%的滞纳金，且乙方则有权延缓执行本合同；甲方迟延付款达</w:t>
      </w:r>
      <w:r>
        <w:rPr>
          <w:rFonts w:hint="eastAsia" w:eastAsia="仿宋_GB2312"/>
          <w:sz w:val="28"/>
          <w:szCs w:val="28"/>
          <w:highlight w:val="none"/>
        </w:rPr>
        <w:t>45</w:t>
      </w:r>
      <w:r>
        <w:rPr>
          <w:rFonts w:eastAsia="仿宋_GB2312"/>
          <w:sz w:val="28"/>
          <w:szCs w:val="28"/>
          <w:highlight w:val="none"/>
        </w:rPr>
        <w:t>日的，乙方有权提前解除本合同。延缓或解除本合同后，甲方仍应按乙方交付的咨询服务成果向乙方支付相应未支付部分的咨询服务费用和滞纳金。</w:t>
      </w:r>
    </w:p>
    <w:p>
      <w:pPr>
        <w:pStyle w:val="18"/>
        <w:spacing w:line="560" w:lineRule="exact"/>
        <w:ind w:firstLine="571" w:firstLineChars="204"/>
        <w:rPr>
          <w:rFonts w:eastAsia="仿宋_GB2312"/>
          <w:sz w:val="28"/>
          <w:szCs w:val="28"/>
          <w:highlight w:val="none"/>
        </w:rPr>
      </w:pPr>
      <w:r>
        <w:rPr>
          <w:rFonts w:eastAsia="仿宋_GB2312"/>
          <w:sz w:val="28"/>
          <w:szCs w:val="28"/>
          <w:highlight w:val="none"/>
        </w:rPr>
        <w:t>3.如因不可抗力导致甲乙双方不能按约履行本合同，由双方协商处理或终止本合同的履行，互不承担违约责任。</w:t>
      </w:r>
    </w:p>
    <w:p>
      <w:pPr>
        <w:pStyle w:val="18"/>
        <w:spacing w:line="560" w:lineRule="exact"/>
        <w:ind w:firstLine="571" w:firstLineChars="204"/>
        <w:rPr>
          <w:rFonts w:eastAsia="仿宋_GB2312"/>
          <w:sz w:val="28"/>
          <w:szCs w:val="28"/>
          <w:highlight w:val="none"/>
        </w:rPr>
      </w:pPr>
      <w:r>
        <w:rPr>
          <w:rFonts w:eastAsia="仿宋_GB2312"/>
          <w:sz w:val="28"/>
          <w:szCs w:val="28"/>
          <w:highlight w:val="none"/>
        </w:rPr>
        <w:t>4.如因甲方违约导致本合同提前解除的，甲方须向乙方支付已发生的咨询服务费用，并赔偿由此给乙方造成的损失。</w:t>
      </w:r>
    </w:p>
    <w:p>
      <w:pPr>
        <w:pStyle w:val="18"/>
        <w:spacing w:line="560" w:lineRule="exact"/>
        <w:ind w:firstLine="571" w:firstLineChars="204"/>
        <w:rPr>
          <w:rFonts w:eastAsia="仿宋_GB2312"/>
          <w:sz w:val="28"/>
          <w:szCs w:val="28"/>
          <w:highlight w:val="none"/>
        </w:rPr>
      </w:pPr>
      <w:r>
        <w:rPr>
          <w:rFonts w:eastAsia="仿宋_GB2312"/>
          <w:sz w:val="28"/>
          <w:szCs w:val="28"/>
          <w:highlight w:val="none"/>
        </w:rPr>
        <w:t>5.如因乙方违约导致本合同提前解除的，乙方须向甲方退还已支付的全部费用，并按照本合同总金额的30%向甲方支付违约金，违约金不足以弥补甲方损失的，</w:t>
      </w:r>
      <w:r>
        <w:rPr>
          <w:rFonts w:hint="eastAsia" w:eastAsia="仿宋_GB2312"/>
          <w:sz w:val="28"/>
          <w:szCs w:val="28"/>
          <w:highlight w:val="none"/>
        </w:rPr>
        <w:t>乙方应</w:t>
      </w:r>
      <w:r>
        <w:rPr>
          <w:rFonts w:eastAsia="仿宋_GB2312"/>
          <w:sz w:val="28"/>
          <w:szCs w:val="28"/>
          <w:highlight w:val="none"/>
        </w:rPr>
        <w:t>赔偿损失。</w:t>
      </w:r>
    </w:p>
    <w:p>
      <w:pPr>
        <w:pStyle w:val="18"/>
        <w:spacing w:line="560" w:lineRule="exact"/>
        <w:ind w:firstLine="571" w:firstLineChars="204"/>
        <w:rPr>
          <w:rFonts w:eastAsia="仿宋_GB2312"/>
          <w:sz w:val="28"/>
          <w:szCs w:val="28"/>
          <w:highlight w:val="none"/>
        </w:rPr>
      </w:pPr>
      <w:r>
        <w:rPr>
          <w:rFonts w:eastAsia="仿宋_GB2312"/>
          <w:sz w:val="28"/>
          <w:szCs w:val="28"/>
          <w:highlight w:val="none"/>
        </w:rPr>
        <w:t>6.甲方根据法定或本合同约定解除合同的，解除合同通知到达乙方之日合同解除，乙方须向甲方退还已支付的费用，并按照本合同总金额的30%向甲方支付违约金，违约金不足以弥补甲方损失的，赔偿损失，损失包括但不限于甲方另行委托服务单位增加的费用和甲方为实现债权的律师费、诉讼费、差旅费。</w:t>
      </w:r>
    </w:p>
    <w:p>
      <w:pPr>
        <w:pStyle w:val="18"/>
        <w:spacing w:line="560" w:lineRule="exact"/>
        <w:ind w:firstLine="571" w:firstLineChars="204"/>
        <w:rPr>
          <w:rFonts w:eastAsia="仿宋_GB2312"/>
          <w:sz w:val="28"/>
          <w:szCs w:val="28"/>
          <w:highlight w:val="none"/>
        </w:rPr>
      </w:pPr>
      <w:r>
        <w:rPr>
          <w:rFonts w:eastAsia="仿宋_GB2312"/>
          <w:sz w:val="28"/>
          <w:szCs w:val="28"/>
          <w:highlight w:val="none"/>
        </w:rPr>
        <w:t>7.因甲方未能对乙方提交的阶段性项目成果或建议方案进行及时决策、反馈导致项目延期时，乙方不承担项目延期责任，项目进度按双方约定相应顺延。</w:t>
      </w:r>
    </w:p>
    <w:p>
      <w:pPr>
        <w:pStyle w:val="18"/>
        <w:spacing w:line="560" w:lineRule="exact"/>
        <w:ind w:firstLine="571" w:firstLineChars="204"/>
        <w:rPr>
          <w:rFonts w:eastAsia="仿宋_GB2312"/>
          <w:sz w:val="28"/>
          <w:szCs w:val="28"/>
          <w:highlight w:val="none"/>
        </w:rPr>
      </w:pPr>
      <w:r>
        <w:rPr>
          <w:rFonts w:eastAsia="仿宋_GB2312"/>
          <w:sz w:val="28"/>
          <w:szCs w:val="28"/>
          <w:highlight w:val="none"/>
        </w:rPr>
        <w:t>8.因甲方原因如重大组织、人事、战略调整等导致项目范围或内容发生重大变化时，双方协商解决；协商不成的，合同按阶段自动终止，合同终止的，甲方应结清乙方已提交</w:t>
      </w:r>
      <w:r>
        <w:rPr>
          <w:rFonts w:hint="eastAsia" w:eastAsia="仿宋_GB2312"/>
          <w:sz w:val="28"/>
          <w:szCs w:val="28"/>
          <w:highlight w:val="none"/>
        </w:rPr>
        <w:t>并经甲方确认合格</w:t>
      </w:r>
      <w:r>
        <w:rPr>
          <w:rFonts w:eastAsia="仿宋_GB2312"/>
          <w:sz w:val="28"/>
          <w:szCs w:val="28"/>
          <w:highlight w:val="none"/>
        </w:rPr>
        <w:t>的成果款项。</w:t>
      </w:r>
    </w:p>
    <w:p>
      <w:pPr>
        <w:pStyle w:val="18"/>
        <w:numPr>
          <w:ilvl w:val="0"/>
          <w:numId w:val="5"/>
        </w:numPr>
        <w:spacing w:line="560" w:lineRule="exact"/>
        <w:ind w:firstLineChars="0"/>
        <w:rPr>
          <w:rFonts w:eastAsia="仿宋_GB2312"/>
          <w:sz w:val="28"/>
          <w:szCs w:val="28"/>
          <w:highlight w:val="none"/>
        </w:rPr>
      </w:pPr>
      <w:r>
        <w:rPr>
          <w:rFonts w:eastAsia="仿宋_GB2312"/>
          <w:sz w:val="28"/>
          <w:szCs w:val="28"/>
          <w:highlight w:val="none"/>
        </w:rPr>
        <w:t>争议解决</w:t>
      </w:r>
    </w:p>
    <w:p>
      <w:pPr>
        <w:spacing w:line="560" w:lineRule="exact"/>
        <w:ind w:firstLine="544" w:firstLineChars="200"/>
        <w:rPr>
          <w:rFonts w:eastAsia="仿宋_GB2312"/>
          <w:sz w:val="28"/>
          <w:szCs w:val="28"/>
          <w:highlight w:val="none"/>
        </w:rPr>
      </w:pPr>
      <w:r>
        <w:rPr>
          <w:rFonts w:eastAsia="仿宋_GB2312"/>
          <w:spacing w:val="-4"/>
          <w:sz w:val="28"/>
          <w:szCs w:val="28"/>
          <w:highlight w:val="none"/>
        </w:rPr>
        <w:t>如本合同履行过程中，甲乙双方发生任何争议时，应本着友好合作的态通过协商的方式解决，并以补充协议形式载明，如协商不成时，任何一方有权提交到甲方所在地</w:t>
      </w:r>
      <w:r>
        <w:rPr>
          <w:rFonts w:hint="eastAsia" w:eastAsia="仿宋_GB2312"/>
          <w:spacing w:val="-4"/>
          <w:sz w:val="28"/>
          <w:szCs w:val="28"/>
          <w:highlight w:val="none"/>
        </w:rPr>
        <w:t>有管辖权的</w:t>
      </w:r>
      <w:r>
        <w:rPr>
          <w:rFonts w:eastAsia="仿宋_GB2312"/>
          <w:spacing w:val="-4"/>
          <w:sz w:val="28"/>
          <w:szCs w:val="28"/>
          <w:highlight w:val="none"/>
        </w:rPr>
        <w:t>人民法院诉讼解决。</w:t>
      </w:r>
    </w:p>
    <w:p>
      <w:pPr>
        <w:pStyle w:val="18"/>
        <w:numPr>
          <w:ilvl w:val="0"/>
          <w:numId w:val="5"/>
        </w:numPr>
        <w:spacing w:line="560" w:lineRule="exact"/>
        <w:ind w:firstLineChars="0"/>
        <w:rPr>
          <w:rFonts w:eastAsia="仿宋_GB2312"/>
          <w:sz w:val="28"/>
          <w:szCs w:val="28"/>
          <w:highlight w:val="none"/>
        </w:rPr>
      </w:pPr>
      <w:r>
        <w:rPr>
          <w:rFonts w:eastAsia="仿宋_GB2312"/>
          <w:sz w:val="28"/>
          <w:szCs w:val="28"/>
          <w:highlight w:val="none"/>
        </w:rPr>
        <w:t>合同文本及生效</w:t>
      </w:r>
    </w:p>
    <w:p>
      <w:pPr>
        <w:pStyle w:val="18"/>
        <w:numPr>
          <w:ilvl w:val="0"/>
          <w:numId w:val="15"/>
        </w:numPr>
        <w:spacing w:line="560" w:lineRule="exact"/>
        <w:ind w:left="0" w:firstLine="556" w:firstLineChars="0"/>
        <w:rPr>
          <w:rFonts w:eastAsia="仿宋_GB2312"/>
          <w:sz w:val="28"/>
          <w:szCs w:val="28"/>
          <w:highlight w:val="none"/>
        </w:rPr>
      </w:pPr>
      <w:r>
        <w:rPr>
          <w:rFonts w:eastAsia="仿宋_GB2312"/>
          <w:sz w:val="28"/>
          <w:szCs w:val="28"/>
          <w:highlight w:val="none"/>
        </w:rPr>
        <w:t>本合同正本一式</w:t>
      </w:r>
      <w:r>
        <w:rPr>
          <w:rFonts w:hint="eastAsia" w:eastAsia="仿宋_GB2312"/>
          <w:sz w:val="28"/>
          <w:szCs w:val="28"/>
          <w:highlight w:val="none"/>
        </w:rPr>
        <w:t>伍</w:t>
      </w:r>
      <w:r>
        <w:rPr>
          <w:rFonts w:eastAsia="仿宋_GB2312"/>
          <w:sz w:val="28"/>
          <w:szCs w:val="28"/>
          <w:highlight w:val="none"/>
        </w:rPr>
        <w:t>份，甲方执肆份，乙方执</w:t>
      </w:r>
      <w:r>
        <w:rPr>
          <w:rFonts w:hint="eastAsia" w:eastAsia="仿宋_GB2312"/>
          <w:sz w:val="28"/>
          <w:szCs w:val="28"/>
          <w:highlight w:val="none"/>
        </w:rPr>
        <w:t>壹</w:t>
      </w:r>
      <w:r>
        <w:rPr>
          <w:rFonts w:eastAsia="仿宋_GB2312"/>
          <w:sz w:val="28"/>
          <w:szCs w:val="28"/>
          <w:highlight w:val="none"/>
        </w:rPr>
        <w:t>份，本合同附件及今后双方经协商确定的有关事项或工作内容，亦作为本合同的有效组成部分，与合同正文同具法律效力。</w:t>
      </w:r>
    </w:p>
    <w:p>
      <w:pPr>
        <w:pStyle w:val="18"/>
        <w:numPr>
          <w:ilvl w:val="0"/>
          <w:numId w:val="15"/>
        </w:numPr>
        <w:spacing w:line="560" w:lineRule="exact"/>
        <w:ind w:left="0" w:firstLine="556" w:firstLineChars="0"/>
        <w:rPr>
          <w:rFonts w:eastAsia="仿宋_GB2312"/>
          <w:sz w:val="28"/>
          <w:szCs w:val="28"/>
          <w:highlight w:val="none"/>
        </w:rPr>
      </w:pPr>
      <w:r>
        <w:rPr>
          <w:rFonts w:eastAsia="仿宋_GB2312"/>
          <w:sz w:val="28"/>
          <w:szCs w:val="28"/>
          <w:highlight w:val="none"/>
        </w:rPr>
        <w:t>本合同经双方法定代表人（或委托代理人）签字并加盖公章后生效。</w:t>
      </w:r>
    </w:p>
    <w:p>
      <w:pPr>
        <w:pStyle w:val="18"/>
        <w:numPr>
          <w:ilvl w:val="0"/>
          <w:numId w:val="5"/>
        </w:numPr>
        <w:spacing w:line="560" w:lineRule="exact"/>
        <w:ind w:left="0" w:firstLine="556" w:firstLineChars="0"/>
        <w:rPr>
          <w:rFonts w:eastAsia="仿宋_GB2312"/>
          <w:sz w:val="28"/>
          <w:szCs w:val="28"/>
          <w:highlight w:val="none"/>
        </w:rPr>
      </w:pPr>
      <w:r>
        <w:rPr>
          <w:rFonts w:eastAsia="仿宋_GB2312"/>
          <w:sz w:val="28"/>
          <w:szCs w:val="28"/>
          <w:highlight w:val="none"/>
        </w:rPr>
        <w:t>附件</w:t>
      </w:r>
    </w:p>
    <w:p>
      <w:pPr>
        <w:widowControl/>
        <w:jc w:val="left"/>
        <w:rPr>
          <w:rFonts w:eastAsia="仿宋_GB2312"/>
          <w:sz w:val="28"/>
          <w:szCs w:val="28"/>
          <w:highlight w:val="none"/>
        </w:rPr>
      </w:pPr>
      <w:r>
        <w:rPr>
          <w:rFonts w:eastAsia="仿宋_GB2312"/>
          <w:sz w:val="28"/>
          <w:szCs w:val="28"/>
          <w:highlight w:val="none"/>
        </w:rPr>
        <w:br w:type="page"/>
      </w:r>
    </w:p>
    <w:p>
      <w:pPr>
        <w:pStyle w:val="18"/>
        <w:spacing w:line="560" w:lineRule="exact"/>
        <w:ind w:firstLine="0" w:firstLineChars="0"/>
        <w:jc w:val="center"/>
        <w:outlineLvl w:val="0"/>
        <w:rPr>
          <w:rFonts w:eastAsia="仿宋_GB2312"/>
          <w:b/>
          <w:bCs/>
          <w:sz w:val="28"/>
          <w:szCs w:val="28"/>
          <w:highlight w:val="none"/>
        </w:rPr>
      </w:pPr>
      <w:r>
        <w:rPr>
          <w:rFonts w:hint="eastAsia" w:eastAsia="仿宋_GB2312"/>
          <w:b/>
          <w:bCs/>
          <w:sz w:val="28"/>
          <w:szCs w:val="28"/>
          <w:highlight w:val="none"/>
        </w:rPr>
        <w:t>蜀道物流集团专业化整合人力资源项目咨询服务内容</w:t>
      </w:r>
    </w:p>
    <w:p>
      <w:pPr>
        <w:pStyle w:val="18"/>
        <w:spacing w:line="560" w:lineRule="exact"/>
        <w:ind w:firstLine="560"/>
        <w:outlineLvl w:val="0"/>
        <w:rPr>
          <w:rFonts w:eastAsia="仿宋_GB2312"/>
          <w:sz w:val="28"/>
          <w:szCs w:val="28"/>
          <w:highlight w:val="none"/>
        </w:rPr>
      </w:pPr>
    </w:p>
    <w:p>
      <w:pPr>
        <w:widowControl/>
        <w:spacing w:line="560" w:lineRule="exact"/>
        <w:ind w:firstLine="560" w:firstLineChars="200"/>
        <w:rPr>
          <w:rFonts w:ascii="仿宋_GB2312" w:hAnsi="仿宋_GB2312" w:eastAsia="仿宋_GB2312"/>
          <w:kern w:val="0"/>
          <w:sz w:val="28"/>
          <w:szCs w:val="28"/>
          <w:highlight w:val="none"/>
          <w:lang w:bidi="bo-CN"/>
        </w:rPr>
      </w:pPr>
      <w:r>
        <w:rPr>
          <w:rFonts w:hint="eastAsia" w:ascii="仿宋_GB2312" w:hAnsi="仿宋_GB2312" w:eastAsia="仿宋_GB2312"/>
          <w:kern w:val="0"/>
          <w:sz w:val="28"/>
          <w:szCs w:val="28"/>
          <w:highlight w:val="none"/>
          <w:lang w:bidi="bo-CN"/>
        </w:rPr>
        <w:t>（一）整体组建方案编制阶段</w:t>
      </w:r>
    </w:p>
    <w:p>
      <w:pPr>
        <w:pStyle w:val="16"/>
        <w:widowControl/>
        <w:spacing w:line="560" w:lineRule="exact"/>
        <w:ind w:firstLine="560"/>
        <w:rPr>
          <w:rFonts w:ascii="仿宋_GB2312" w:hAnsi="仿宋_GB2312" w:eastAsia="仿宋_GB2312"/>
          <w:kern w:val="0"/>
          <w:sz w:val="28"/>
          <w:szCs w:val="28"/>
          <w:highlight w:val="none"/>
          <w:lang w:bidi="bo-CN"/>
        </w:rPr>
      </w:pPr>
      <w:r>
        <w:rPr>
          <w:rFonts w:hint="eastAsia" w:ascii="仿宋_GB2312" w:hAnsi="仿宋_GB2312" w:eastAsia="仿宋_GB2312"/>
          <w:kern w:val="0"/>
          <w:sz w:val="28"/>
          <w:szCs w:val="28"/>
          <w:highlight w:val="none"/>
          <w:lang w:bidi="bo-CN"/>
        </w:rPr>
        <w:t>1.</w:t>
      </w:r>
      <w:r>
        <w:rPr>
          <w:rFonts w:ascii="仿宋_GB2312" w:hAnsi="仿宋_GB2312" w:eastAsia="仿宋_GB2312"/>
          <w:kern w:val="0"/>
          <w:sz w:val="28"/>
          <w:szCs w:val="28"/>
          <w:highlight w:val="none"/>
          <w:lang w:bidi="bo-CN"/>
        </w:rPr>
        <w:t>根据蜀道集团</w:t>
      </w:r>
      <w:r>
        <w:rPr>
          <w:rFonts w:hint="eastAsia" w:ascii="仿宋_GB2312" w:hAnsi="仿宋_GB2312" w:eastAsia="仿宋_GB2312"/>
          <w:kern w:val="0"/>
          <w:sz w:val="28"/>
          <w:szCs w:val="28"/>
          <w:highlight w:val="none"/>
          <w:lang w:bidi="bo-CN"/>
        </w:rPr>
        <w:t>对专业化蜀道物流集团</w:t>
      </w:r>
      <w:r>
        <w:rPr>
          <w:rFonts w:ascii="仿宋_GB2312" w:hAnsi="仿宋_GB2312" w:eastAsia="仿宋_GB2312"/>
          <w:kern w:val="0"/>
          <w:sz w:val="28"/>
          <w:szCs w:val="28"/>
          <w:highlight w:val="none"/>
          <w:lang w:bidi="bo-CN"/>
        </w:rPr>
        <w:t>战略定位和管理要求，</w:t>
      </w:r>
      <w:r>
        <w:rPr>
          <w:rFonts w:hint="eastAsia" w:ascii="仿宋_GB2312" w:hAnsi="仿宋_GB2312" w:eastAsia="仿宋_GB2312"/>
          <w:kern w:val="0"/>
          <w:sz w:val="28"/>
          <w:szCs w:val="28"/>
          <w:highlight w:val="none"/>
          <w:lang w:bidi="bo-CN"/>
        </w:rPr>
        <w:t>搭建蜀道物流集团</w:t>
      </w:r>
      <w:r>
        <w:rPr>
          <w:rFonts w:hint="eastAsia" w:ascii="仿宋_GB2312" w:hAnsi="仿宋_GB2312" w:eastAsia="仿宋_GB2312"/>
          <w:kern w:val="0"/>
          <w:sz w:val="28"/>
          <w:szCs w:val="28"/>
          <w:highlight w:val="none"/>
          <w:lang w:eastAsia="zh-CN" w:bidi="bo-CN"/>
        </w:rPr>
        <w:t>本部</w:t>
      </w:r>
      <w:r>
        <w:rPr>
          <w:rFonts w:ascii="仿宋_GB2312" w:hAnsi="仿宋_GB2312" w:eastAsia="仿宋_GB2312"/>
          <w:kern w:val="0"/>
          <w:sz w:val="28"/>
          <w:szCs w:val="28"/>
          <w:highlight w:val="none"/>
          <w:lang w:bidi="bo-CN"/>
        </w:rPr>
        <w:t>组织架构；</w:t>
      </w:r>
    </w:p>
    <w:p>
      <w:pPr>
        <w:pStyle w:val="16"/>
        <w:widowControl/>
        <w:spacing w:line="560" w:lineRule="exact"/>
        <w:ind w:firstLine="560"/>
        <w:rPr>
          <w:rFonts w:ascii="仿宋_GB2312" w:hAnsi="仿宋_GB2312" w:eastAsia="仿宋_GB2312"/>
          <w:kern w:val="0"/>
          <w:sz w:val="28"/>
          <w:szCs w:val="28"/>
          <w:highlight w:val="none"/>
          <w:lang w:bidi="bo-CN"/>
        </w:rPr>
      </w:pPr>
      <w:r>
        <w:rPr>
          <w:rFonts w:hint="eastAsia" w:ascii="仿宋_GB2312" w:hAnsi="仿宋_GB2312" w:eastAsia="仿宋_GB2312"/>
          <w:kern w:val="0"/>
          <w:sz w:val="28"/>
          <w:szCs w:val="28"/>
          <w:highlight w:val="none"/>
          <w:lang w:bidi="bo-CN"/>
        </w:rPr>
        <w:t>2.</w:t>
      </w:r>
      <w:r>
        <w:rPr>
          <w:rFonts w:ascii="仿宋_GB2312" w:hAnsi="仿宋_GB2312" w:eastAsia="仿宋_GB2312"/>
          <w:kern w:val="0"/>
          <w:sz w:val="28"/>
          <w:szCs w:val="28"/>
          <w:highlight w:val="none"/>
          <w:lang w:bidi="bo-CN"/>
        </w:rPr>
        <w:t>收集并提供其他</w:t>
      </w:r>
      <w:r>
        <w:rPr>
          <w:rFonts w:hint="eastAsia" w:ascii="仿宋_GB2312" w:hAnsi="仿宋_GB2312" w:eastAsia="仿宋_GB2312"/>
          <w:kern w:val="0"/>
          <w:sz w:val="28"/>
          <w:szCs w:val="28"/>
          <w:highlight w:val="none"/>
          <w:lang w:bidi="bo-CN"/>
        </w:rPr>
        <w:t>同类型</w:t>
      </w:r>
      <w:r>
        <w:rPr>
          <w:rFonts w:ascii="仿宋_GB2312" w:hAnsi="仿宋_GB2312" w:eastAsia="仿宋_GB2312"/>
          <w:kern w:val="0"/>
          <w:sz w:val="28"/>
          <w:szCs w:val="28"/>
          <w:highlight w:val="none"/>
          <w:lang w:bidi="bo-CN"/>
        </w:rPr>
        <w:t>国有企业相关材料和数据，提供对标样本；</w:t>
      </w:r>
    </w:p>
    <w:p>
      <w:pPr>
        <w:pStyle w:val="16"/>
        <w:widowControl/>
        <w:spacing w:line="560" w:lineRule="exact"/>
        <w:ind w:firstLine="560"/>
        <w:rPr>
          <w:rFonts w:ascii="仿宋_GB2312" w:hAnsi="仿宋_GB2312" w:eastAsia="仿宋_GB2312"/>
          <w:kern w:val="0"/>
          <w:sz w:val="28"/>
          <w:szCs w:val="28"/>
          <w:highlight w:val="none"/>
          <w:lang w:bidi="bo-CN"/>
        </w:rPr>
      </w:pPr>
      <w:r>
        <w:rPr>
          <w:rFonts w:hint="eastAsia" w:ascii="仿宋_GB2312" w:hAnsi="仿宋_GB2312" w:eastAsia="仿宋_GB2312"/>
          <w:kern w:val="0"/>
          <w:sz w:val="28"/>
          <w:szCs w:val="28"/>
          <w:highlight w:val="none"/>
          <w:lang w:bidi="bo-CN"/>
        </w:rPr>
        <w:t>3.</w:t>
      </w:r>
      <w:r>
        <w:rPr>
          <w:rFonts w:ascii="仿宋_GB2312" w:hAnsi="仿宋_GB2312" w:eastAsia="仿宋_GB2312"/>
          <w:kern w:val="0"/>
          <w:sz w:val="28"/>
          <w:szCs w:val="28"/>
          <w:highlight w:val="none"/>
          <w:lang w:bidi="bo-CN"/>
        </w:rPr>
        <w:t>设计</w:t>
      </w:r>
      <w:r>
        <w:rPr>
          <w:rFonts w:hint="eastAsia" w:ascii="仿宋_GB2312" w:hAnsi="仿宋_GB2312" w:eastAsia="仿宋_GB2312"/>
          <w:kern w:val="0"/>
          <w:sz w:val="28"/>
          <w:szCs w:val="28"/>
          <w:highlight w:val="none"/>
          <w:lang w:bidi="bo-CN"/>
        </w:rPr>
        <w:t>蜀道物流集</w:t>
      </w:r>
      <w:r>
        <w:rPr>
          <w:rFonts w:ascii="仿宋_GB2312" w:hAnsi="仿宋_GB2312" w:eastAsia="仿宋_GB2312"/>
          <w:kern w:val="0"/>
          <w:sz w:val="28"/>
          <w:szCs w:val="28"/>
          <w:highlight w:val="none"/>
          <w:lang w:bidi="bo-CN"/>
        </w:rPr>
        <w:t>团</w:t>
      </w:r>
      <w:r>
        <w:rPr>
          <w:rFonts w:hint="eastAsia" w:ascii="仿宋_GB2312" w:hAnsi="仿宋_GB2312" w:eastAsia="仿宋_GB2312"/>
          <w:kern w:val="0"/>
          <w:sz w:val="28"/>
          <w:szCs w:val="28"/>
          <w:highlight w:val="none"/>
          <w:lang w:eastAsia="zh-CN" w:bidi="bo-CN"/>
        </w:rPr>
        <w:t>本部</w:t>
      </w:r>
      <w:r>
        <w:rPr>
          <w:rFonts w:ascii="仿宋_GB2312" w:hAnsi="仿宋_GB2312" w:eastAsia="仿宋_GB2312"/>
          <w:kern w:val="0"/>
          <w:sz w:val="28"/>
          <w:szCs w:val="28"/>
          <w:highlight w:val="none"/>
          <w:lang w:bidi="bo-CN"/>
        </w:rPr>
        <w:t>岗位职级体系，形成《</w:t>
      </w:r>
      <w:r>
        <w:rPr>
          <w:rFonts w:hint="eastAsia" w:ascii="仿宋_GB2312" w:hAnsi="仿宋_GB2312" w:eastAsia="仿宋_GB2312"/>
          <w:kern w:val="0"/>
          <w:sz w:val="28"/>
          <w:szCs w:val="28"/>
          <w:highlight w:val="none"/>
          <w:lang w:eastAsia="zh-CN" w:bidi="bo-CN"/>
        </w:rPr>
        <w:t>本部</w:t>
      </w:r>
      <w:r>
        <w:rPr>
          <w:rFonts w:ascii="仿宋_GB2312" w:hAnsi="仿宋_GB2312" w:eastAsia="仿宋_GB2312"/>
          <w:kern w:val="0"/>
          <w:sz w:val="28"/>
          <w:szCs w:val="28"/>
          <w:highlight w:val="none"/>
          <w:lang w:bidi="bo-CN"/>
        </w:rPr>
        <w:t>内设机构、职能职责、人员编制方案》；</w:t>
      </w:r>
    </w:p>
    <w:p>
      <w:pPr>
        <w:pStyle w:val="16"/>
        <w:widowControl/>
        <w:spacing w:line="560" w:lineRule="exact"/>
        <w:ind w:firstLine="560"/>
        <w:rPr>
          <w:rFonts w:ascii="仿宋_GB2312" w:hAnsi="仿宋_GB2312" w:eastAsia="仿宋_GB2312"/>
          <w:kern w:val="0"/>
          <w:sz w:val="28"/>
          <w:szCs w:val="28"/>
          <w:highlight w:val="none"/>
          <w:lang w:bidi="bo-CN"/>
        </w:rPr>
      </w:pPr>
      <w:r>
        <w:rPr>
          <w:rFonts w:hint="eastAsia" w:ascii="仿宋_GB2312" w:hAnsi="仿宋_GB2312" w:eastAsia="仿宋_GB2312"/>
          <w:kern w:val="0"/>
          <w:sz w:val="28"/>
          <w:szCs w:val="28"/>
          <w:highlight w:val="none"/>
          <w:lang w:bidi="bo-CN"/>
        </w:rPr>
        <w:t>4.</w:t>
      </w:r>
      <w:r>
        <w:rPr>
          <w:rFonts w:ascii="仿宋_GB2312" w:hAnsi="仿宋_GB2312" w:eastAsia="仿宋_GB2312"/>
          <w:kern w:val="0"/>
          <w:sz w:val="28"/>
          <w:szCs w:val="28"/>
          <w:highlight w:val="none"/>
          <w:lang w:bidi="bo-CN"/>
        </w:rPr>
        <w:t>编制</w:t>
      </w:r>
      <w:r>
        <w:rPr>
          <w:rFonts w:hint="eastAsia" w:ascii="仿宋_GB2312" w:hAnsi="仿宋_GB2312" w:eastAsia="仿宋_GB2312"/>
          <w:kern w:val="0"/>
          <w:sz w:val="28"/>
          <w:szCs w:val="28"/>
          <w:highlight w:val="none"/>
          <w:lang w:bidi="bo-CN"/>
        </w:rPr>
        <w:t>蜀道物流集团</w:t>
      </w:r>
      <w:r>
        <w:rPr>
          <w:rFonts w:ascii="仿宋_GB2312" w:hAnsi="仿宋_GB2312" w:eastAsia="仿宋_GB2312"/>
          <w:kern w:val="0"/>
          <w:sz w:val="28"/>
          <w:szCs w:val="28"/>
          <w:highlight w:val="none"/>
          <w:lang w:bidi="bo-CN"/>
        </w:rPr>
        <w:t>人力资源制度市场化改革方案，将改革的精神和要求切实落实到各项</w:t>
      </w:r>
      <w:r>
        <w:rPr>
          <w:rFonts w:hint="eastAsia" w:ascii="仿宋_GB2312" w:hAnsi="仿宋_GB2312" w:eastAsia="仿宋_GB2312"/>
          <w:kern w:val="0"/>
          <w:sz w:val="28"/>
          <w:szCs w:val="28"/>
          <w:highlight w:val="none"/>
          <w:lang w:bidi="bo-CN"/>
        </w:rPr>
        <w:t>整合</w:t>
      </w:r>
      <w:r>
        <w:rPr>
          <w:rFonts w:ascii="仿宋_GB2312" w:hAnsi="仿宋_GB2312" w:eastAsia="仿宋_GB2312"/>
          <w:kern w:val="0"/>
          <w:sz w:val="28"/>
          <w:szCs w:val="28"/>
          <w:highlight w:val="none"/>
          <w:lang w:bidi="bo-CN"/>
        </w:rPr>
        <w:t>工作中去</w:t>
      </w:r>
      <w:r>
        <w:rPr>
          <w:rFonts w:hint="eastAsia" w:ascii="仿宋_GB2312" w:hAnsi="仿宋_GB2312" w:eastAsia="仿宋_GB2312"/>
          <w:kern w:val="0"/>
          <w:sz w:val="28"/>
          <w:szCs w:val="28"/>
          <w:highlight w:val="none"/>
          <w:lang w:bidi="bo-CN"/>
        </w:rPr>
        <w:t>。</w:t>
      </w:r>
    </w:p>
    <w:p>
      <w:pPr>
        <w:widowControl/>
        <w:spacing w:line="560" w:lineRule="exact"/>
        <w:ind w:firstLine="560" w:firstLineChars="200"/>
        <w:rPr>
          <w:rFonts w:ascii="仿宋_GB2312" w:hAnsi="仿宋_GB2312" w:eastAsia="仿宋_GB2312"/>
          <w:kern w:val="0"/>
          <w:sz w:val="28"/>
          <w:szCs w:val="28"/>
          <w:highlight w:val="none"/>
          <w:lang w:bidi="bo-CN"/>
        </w:rPr>
      </w:pPr>
      <w:r>
        <w:rPr>
          <w:rFonts w:hint="eastAsia" w:ascii="仿宋_GB2312" w:hAnsi="仿宋_GB2312" w:eastAsia="仿宋_GB2312"/>
          <w:kern w:val="0"/>
          <w:sz w:val="28"/>
          <w:szCs w:val="28"/>
          <w:highlight w:val="none"/>
          <w:lang w:bidi="bo-CN"/>
        </w:rPr>
        <w:t>（二）重组整合三项制度改革细化落实阶段</w:t>
      </w:r>
    </w:p>
    <w:p>
      <w:pPr>
        <w:pStyle w:val="16"/>
        <w:widowControl/>
        <w:spacing w:line="560" w:lineRule="exact"/>
        <w:ind w:firstLine="560"/>
        <w:rPr>
          <w:rFonts w:ascii="仿宋_GB2312" w:hAnsi="仿宋_GB2312" w:eastAsia="仿宋_GB2312"/>
          <w:kern w:val="0"/>
          <w:sz w:val="28"/>
          <w:szCs w:val="28"/>
          <w:highlight w:val="none"/>
          <w:lang w:bidi="bo-CN"/>
        </w:rPr>
      </w:pPr>
      <w:r>
        <w:rPr>
          <w:rFonts w:hint="eastAsia" w:ascii="仿宋_GB2312" w:hAnsi="仿宋_GB2312" w:eastAsia="仿宋_GB2312"/>
          <w:kern w:val="0"/>
          <w:sz w:val="28"/>
          <w:szCs w:val="28"/>
          <w:highlight w:val="none"/>
          <w:lang w:bidi="bo-CN"/>
        </w:rPr>
        <w:t>1.</w:t>
      </w:r>
      <w:r>
        <w:rPr>
          <w:rFonts w:ascii="仿宋_GB2312" w:hAnsi="仿宋_GB2312" w:eastAsia="仿宋_GB2312"/>
          <w:kern w:val="0"/>
          <w:sz w:val="28"/>
          <w:szCs w:val="28"/>
          <w:highlight w:val="none"/>
          <w:lang w:bidi="bo-CN"/>
        </w:rPr>
        <w:t>开展</w:t>
      </w:r>
      <w:r>
        <w:rPr>
          <w:rFonts w:hint="eastAsia" w:ascii="仿宋_GB2312" w:hAnsi="仿宋_GB2312" w:eastAsia="仿宋_GB2312"/>
          <w:kern w:val="0"/>
          <w:sz w:val="28"/>
          <w:szCs w:val="28"/>
          <w:highlight w:val="none"/>
          <w:lang w:bidi="bo-CN"/>
        </w:rPr>
        <w:t>蜀道物流集团</w:t>
      </w:r>
      <w:r>
        <w:rPr>
          <w:rFonts w:hint="eastAsia" w:ascii="仿宋_GB2312" w:hAnsi="仿宋_GB2312" w:eastAsia="仿宋_GB2312"/>
          <w:kern w:val="0"/>
          <w:sz w:val="28"/>
          <w:szCs w:val="28"/>
          <w:highlight w:val="none"/>
          <w:lang w:eastAsia="zh-CN" w:bidi="bo-CN"/>
        </w:rPr>
        <w:t>本部</w:t>
      </w:r>
      <w:r>
        <w:rPr>
          <w:rFonts w:ascii="仿宋_GB2312" w:hAnsi="仿宋_GB2312" w:eastAsia="仿宋_GB2312"/>
          <w:kern w:val="0"/>
          <w:sz w:val="28"/>
          <w:szCs w:val="28"/>
          <w:highlight w:val="none"/>
          <w:lang w:bidi="bo-CN"/>
        </w:rPr>
        <w:t>岗位设置、岗位说明书编制</w:t>
      </w:r>
      <w:r>
        <w:rPr>
          <w:rFonts w:hint="eastAsia" w:ascii="仿宋_GB2312" w:hAnsi="仿宋_GB2312" w:eastAsia="仿宋_GB2312"/>
          <w:kern w:val="0"/>
          <w:sz w:val="28"/>
          <w:szCs w:val="28"/>
          <w:highlight w:val="none"/>
          <w:lang w:bidi="bo-CN"/>
        </w:rPr>
        <w:t>工作；</w:t>
      </w:r>
    </w:p>
    <w:p>
      <w:pPr>
        <w:pStyle w:val="16"/>
        <w:widowControl/>
        <w:spacing w:line="560" w:lineRule="exact"/>
        <w:ind w:firstLine="560"/>
        <w:rPr>
          <w:rFonts w:ascii="仿宋_GB2312" w:hAnsi="仿宋_GB2312" w:eastAsia="仿宋_GB2312"/>
          <w:kern w:val="0"/>
          <w:sz w:val="28"/>
          <w:szCs w:val="28"/>
          <w:highlight w:val="none"/>
          <w:lang w:bidi="bo-CN"/>
        </w:rPr>
      </w:pPr>
      <w:r>
        <w:rPr>
          <w:rFonts w:hint="eastAsia" w:ascii="仿宋_GB2312" w:hAnsi="仿宋_GB2312" w:eastAsia="仿宋_GB2312"/>
          <w:kern w:val="0"/>
          <w:sz w:val="28"/>
          <w:szCs w:val="28"/>
          <w:highlight w:val="none"/>
          <w:lang w:bidi="bo-CN"/>
        </w:rPr>
        <w:t>2.制定岗位价值评价方案、准备岗位价值评价工具、开展</w:t>
      </w:r>
      <w:r>
        <w:rPr>
          <w:rFonts w:ascii="仿宋_GB2312" w:hAnsi="仿宋_GB2312" w:eastAsia="仿宋_GB2312"/>
          <w:kern w:val="0"/>
          <w:sz w:val="28"/>
          <w:szCs w:val="28"/>
          <w:highlight w:val="none"/>
          <w:lang w:bidi="bo-CN"/>
        </w:rPr>
        <w:t>岗位价值评价</w:t>
      </w:r>
      <w:r>
        <w:rPr>
          <w:rFonts w:hint="eastAsia" w:ascii="仿宋_GB2312" w:hAnsi="仿宋_GB2312" w:eastAsia="仿宋_GB2312"/>
          <w:kern w:val="0"/>
          <w:sz w:val="28"/>
          <w:szCs w:val="28"/>
          <w:highlight w:val="none"/>
          <w:lang w:bidi="bo-CN"/>
        </w:rPr>
        <w:t>现场培训及岗位价值评估</w:t>
      </w:r>
      <w:r>
        <w:rPr>
          <w:rFonts w:ascii="仿宋_GB2312" w:hAnsi="仿宋_GB2312" w:eastAsia="仿宋_GB2312"/>
          <w:kern w:val="0"/>
          <w:sz w:val="28"/>
          <w:szCs w:val="28"/>
          <w:highlight w:val="none"/>
          <w:lang w:bidi="bo-CN"/>
        </w:rPr>
        <w:t>，为人员安排、岗位竞聘工作的顺利开展奠定基础</w:t>
      </w:r>
      <w:r>
        <w:rPr>
          <w:rFonts w:hint="eastAsia" w:ascii="仿宋_GB2312" w:hAnsi="仿宋_GB2312" w:eastAsia="仿宋_GB2312"/>
          <w:kern w:val="0"/>
          <w:sz w:val="28"/>
          <w:szCs w:val="28"/>
          <w:highlight w:val="none"/>
          <w:lang w:bidi="bo-CN"/>
        </w:rPr>
        <w:t>；</w:t>
      </w:r>
    </w:p>
    <w:p>
      <w:pPr>
        <w:pStyle w:val="16"/>
        <w:widowControl/>
        <w:spacing w:line="560" w:lineRule="exact"/>
        <w:ind w:firstLine="560"/>
        <w:rPr>
          <w:rFonts w:ascii="仿宋_GB2312" w:hAnsi="仿宋_GB2312" w:eastAsia="仿宋_GB2312"/>
          <w:kern w:val="0"/>
          <w:sz w:val="28"/>
          <w:szCs w:val="28"/>
          <w:highlight w:val="none"/>
          <w:lang w:bidi="bo-CN"/>
        </w:rPr>
      </w:pPr>
      <w:r>
        <w:rPr>
          <w:rFonts w:hint="eastAsia" w:ascii="仿宋_GB2312" w:hAnsi="仿宋_GB2312" w:eastAsia="仿宋_GB2312"/>
          <w:kern w:val="0"/>
          <w:sz w:val="28"/>
          <w:szCs w:val="28"/>
          <w:highlight w:val="none"/>
          <w:lang w:bidi="bo-CN"/>
        </w:rPr>
        <w:t>3.</w:t>
      </w:r>
      <w:r>
        <w:rPr>
          <w:rFonts w:ascii="仿宋_GB2312" w:hAnsi="仿宋_GB2312" w:eastAsia="仿宋_GB2312"/>
          <w:kern w:val="0"/>
          <w:sz w:val="28"/>
          <w:szCs w:val="28"/>
          <w:highlight w:val="none"/>
          <w:lang w:bidi="bo-CN"/>
        </w:rPr>
        <w:t>设计</w:t>
      </w:r>
      <w:r>
        <w:rPr>
          <w:rFonts w:hint="eastAsia" w:ascii="仿宋_GB2312" w:hAnsi="仿宋_GB2312" w:eastAsia="仿宋_GB2312"/>
          <w:kern w:val="0"/>
          <w:sz w:val="28"/>
          <w:szCs w:val="28"/>
          <w:highlight w:val="none"/>
          <w:lang w:bidi="bo-CN"/>
        </w:rPr>
        <w:t>蜀道物流集团</w:t>
      </w:r>
      <w:r>
        <w:rPr>
          <w:rFonts w:hint="eastAsia" w:ascii="仿宋_GB2312" w:hAnsi="仿宋_GB2312" w:eastAsia="仿宋_GB2312"/>
          <w:kern w:val="0"/>
          <w:sz w:val="28"/>
          <w:szCs w:val="28"/>
          <w:highlight w:val="none"/>
          <w:lang w:eastAsia="zh-CN" w:bidi="bo-CN"/>
        </w:rPr>
        <w:t>本部</w:t>
      </w:r>
      <w:r>
        <w:rPr>
          <w:rFonts w:ascii="仿宋_GB2312" w:hAnsi="仿宋_GB2312" w:eastAsia="仿宋_GB2312"/>
          <w:kern w:val="0"/>
          <w:sz w:val="28"/>
          <w:szCs w:val="28"/>
          <w:highlight w:val="none"/>
          <w:lang w:bidi="bo-CN"/>
        </w:rPr>
        <w:t>员工工资体系，形成</w:t>
      </w:r>
      <w:r>
        <w:rPr>
          <w:rFonts w:hint="eastAsia" w:ascii="仿宋_GB2312" w:hAnsi="仿宋_GB2312" w:eastAsia="仿宋_GB2312"/>
          <w:kern w:val="0"/>
          <w:sz w:val="28"/>
          <w:szCs w:val="28"/>
          <w:highlight w:val="none"/>
          <w:lang w:eastAsia="zh-CN" w:bidi="bo-CN"/>
        </w:rPr>
        <w:t>本部</w:t>
      </w:r>
      <w:r>
        <w:rPr>
          <w:rFonts w:ascii="仿宋_GB2312" w:hAnsi="仿宋_GB2312" w:eastAsia="仿宋_GB2312"/>
          <w:kern w:val="0"/>
          <w:sz w:val="28"/>
          <w:szCs w:val="28"/>
          <w:highlight w:val="none"/>
          <w:lang w:bidi="bo-CN"/>
        </w:rPr>
        <w:t xml:space="preserve">薪酬管理体系和相关办法； </w:t>
      </w:r>
    </w:p>
    <w:p>
      <w:pPr>
        <w:pStyle w:val="16"/>
        <w:widowControl/>
        <w:spacing w:line="560" w:lineRule="exact"/>
        <w:ind w:firstLine="560"/>
        <w:rPr>
          <w:rFonts w:ascii="仿宋_GB2312" w:hAnsi="仿宋_GB2312" w:eastAsia="仿宋_GB2312"/>
          <w:kern w:val="0"/>
          <w:sz w:val="28"/>
          <w:szCs w:val="28"/>
          <w:highlight w:val="none"/>
          <w:lang w:bidi="bo-CN"/>
        </w:rPr>
      </w:pPr>
      <w:r>
        <w:rPr>
          <w:rFonts w:hint="eastAsia" w:ascii="仿宋_GB2312" w:hAnsi="仿宋_GB2312" w:eastAsia="仿宋_GB2312"/>
          <w:kern w:val="0"/>
          <w:sz w:val="28"/>
          <w:szCs w:val="28"/>
          <w:highlight w:val="none"/>
          <w:lang w:bidi="bo-CN"/>
        </w:rPr>
        <w:t>4.</w:t>
      </w:r>
      <w:r>
        <w:rPr>
          <w:rFonts w:ascii="仿宋_GB2312" w:hAnsi="仿宋_GB2312" w:eastAsia="仿宋_GB2312"/>
          <w:kern w:val="0"/>
          <w:sz w:val="28"/>
          <w:szCs w:val="28"/>
          <w:highlight w:val="none"/>
          <w:lang w:bidi="bo-CN"/>
        </w:rPr>
        <w:t>设计</w:t>
      </w:r>
      <w:r>
        <w:rPr>
          <w:rFonts w:hint="eastAsia" w:ascii="仿宋_GB2312" w:hAnsi="仿宋_GB2312" w:eastAsia="仿宋_GB2312"/>
          <w:kern w:val="0"/>
          <w:sz w:val="28"/>
          <w:szCs w:val="28"/>
          <w:highlight w:val="none"/>
          <w:lang w:bidi="bo-CN"/>
        </w:rPr>
        <w:t>蜀道物流集</w:t>
      </w:r>
      <w:r>
        <w:rPr>
          <w:rFonts w:ascii="仿宋_GB2312" w:hAnsi="仿宋_GB2312" w:eastAsia="仿宋_GB2312"/>
          <w:kern w:val="0"/>
          <w:sz w:val="28"/>
          <w:szCs w:val="28"/>
          <w:highlight w:val="none"/>
          <w:lang w:bidi="bo-CN"/>
        </w:rPr>
        <w:t>团</w:t>
      </w:r>
      <w:r>
        <w:rPr>
          <w:rFonts w:hint="eastAsia" w:ascii="仿宋_GB2312" w:hAnsi="仿宋_GB2312" w:eastAsia="仿宋_GB2312"/>
          <w:kern w:val="0"/>
          <w:sz w:val="28"/>
          <w:szCs w:val="28"/>
          <w:highlight w:val="none"/>
          <w:lang w:eastAsia="zh-CN" w:bidi="bo-CN"/>
        </w:rPr>
        <w:t>本部</w:t>
      </w:r>
      <w:r>
        <w:rPr>
          <w:rFonts w:ascii="仿宋_GB2312" w:hAnsi="仿宋_GB2312" w:eastAsia="仿宋_GB2312"/>
          <w:kern w:val="0"/>
          <w:sz w:val="28"/>
          <w:szCs w:val="28"/>
          <w:highlight w:val="none"/>
          <w:lang w:bidi="bo-CN"/>
        </w:rPr>
        <w:t>绩效考核体系，形成</w:t>
      </w:r>
      <w:r>
        <w:rPr>
          <w:rFonts w:hint="eastAsia" w:ascii="仿宋_GB2312" w:hAnsi="仿宋_GB2312" w:eastAsia="仿宋_GB2312"/>
          <w:kern w:val="0"/>
          <w:sz w:val="28"/>
          <w:szCs w:val="28"/>
          <w:highlight w:val="none"/>
          <w:lang w:eastAsia="zh-CN" w:bidi="bo-CN"/>
        </w:rPr>
        <w:t>本部</w:t>
      </w:r>
      <w:r>
        <w:rPr>
          <w:rFonts w:ascii="仿宋_GB2312" w:hAnsi="仿宋_GB2312" w:eastAsia="仿宋_GB2312"/>
          <w:kern w:val="0"/>
          <w:sz w:val="28"/>
          <w:szCs w:val="28"/>
          <w:highlight w:val="none"/>
          <w:lang w:bidi="bo-CN"/>
        </w:rPr>
        <w:t>绩效管理体系和相关办法</w:t>
      </w:r>
      <w:r>
        <w:rPr>
          <w:rFonts w:hint="eastAsia" w:ascii="仿宋_GB2312" w:hAnsi="仿宋_GB2312" w:eastAsia="仿宋_GB2312"/>
          <w:kern w:val="0"/>
          <w:sz w:val="28"/>
          <w:szCs w:val="28"/>
          <w:highlight w:val="none"/>
          <w:lang w:bidi="bo-CN"/>
        </w:rPr>
        <w:t>。</w:t>
      </w:r>
    </w:p>
    <w:p>
      <w:pPr>
        <w:pStyle w:val="18"/>
        <w:spacing w:line="560" w:lineRule="exact"/>
        <w:ind w:left="566" w:firstLine="560"/>
        <w:outlineLvl w:val="0"/>
        <w:rPr>
          <w:rFonts w:eastAsia="仿宋_GB2312"/>
          <w:highlight w:val="none"/>
        </w:rPr>
      </w:pPr>
      <w:r>
        <w:rPr>
          <w:rFonts w:eastAsia="仿宋_GB2312"/>
          <w:sz w:val="28"/>
          <w:szCs w:val="28"/>
          <w:highlight w:val="none"/>
        </w:rPr>
        <w:t>（以下无正文）</w:t>
      </w:r>
      <w:r>
        <w:rPr>
          <w:rFonts w:eastAsia="仿宋_GB2312"/>
          <w:highlight w:val="none"/>
        </w:rPr>
        <w:br w:type="page"/>
      </w:r>
    </w:p>
    <w:tbl>
      <w:tblPr>
        <w:tblStyle w:val="12"/>
        <w:tblW w:w="8897" w:type="dxa"/>
        <w:jc w:val="center"/>
        <w:tblLayout w:type="fixed"/>
        <w:tblCellMar>
          <w:top w:w="0" w:type="dxa"/>
          <w:left w:w="108" w:type="dxa"/>
          <w:bottom w:w="0" w:type="dxa"/>
          <w:right w:w="108" w:type="dxa"/>
        </w:tblCellMar>
      </w:tblPr>
      <w:tblGrid>
        <w:gridCol w:w="8897"/>
      </w:tblGrid>
      <w:tr>
        <w:tblPrEx>
          <w:tblCellMar>
            <w:top w:w="0" w:type="dxa"/>
            <w:left w:w="108" w:type="dxa"/>
            <w:bottom w:w="0" w:type="dxa"/>
            <w:right w:w="108" w:type="dxa"/>
          </w:tblCellMar>
        </w:tblPrEx>
        <w:trPr>
          <w:jc w:val="center"/>
        </w:trPr>
        <w:tc>
          <w:tcPr>
            <w:tcW w:w="8897" w:type="dxa"/>
          </w:tcPr>
          <w:p>
            <w:pPr>
              <w:spacing w:line="360" w:lineRule="auto"/>
              <w:jc w:val="left"/>
              <w:rPr>
                <w:rFonts w:eastAsia="仿宋_GB2312"/>
                <w:sz w:val="28"/>
                <w:szCs w:val="28"/>
                <w:highlight w:val="none"/>
              </w:rPr>
            </w:pPr>
            <w:r>
              <w:rPr>
                <w:rFonts w:eastAsia="仿宋_GB2312"/>
                <w:sz w:val="28"/>
                <w:szCs w:val="28"/>
                <w:highlight w:val="none"/>
              </w:rPr>
              <w:t>（本页为签署页）</w:t>
            </w:r>
          </w:p>
          <w:tbl>
            <w:tblPr>
              <w:tblStyle w:val="12"/>
              <w:tblW w:w="8671"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4335"/>
              <w:gridCol w:w="4336"/>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89" w:hRule="atLeast"/>
              </w:trPr>
              <w:tc>
                <w:tcPr>
                  <w:tcW w:w="4335" w:type="dxa"/>
                  <w:shd w:val="clear" w:color="auto" w:fill="auto"/>
                </w:tcPr>
                <w:p>
                  <w:pPr>
                    <w:jc w:val="center"/>
                    <w:rPr>
                      <w:rFonts w:eastAsia="仿宋_GB2312"/>
                      <w:b/>
                      <w:sz w:val="28"/>
                      <w:szCs w:val="28"/>
                      <w:highlight w:val="none"/>
                    </w:rPr>
                  </w:pPr>
                  <w:r>
                    <w:rPr>
                      <w:rFonts w:eastAsia="仿宋_GB2312"/>
                      <w:b/>
                      <w:sz w:val="28"/>
                      <w:szCs w:val="28"/>
                      <w:highlight w:val="none"/>
                    </w:rPr>
                    <w:t>甲方</w:t>
                  </w:r>
                </w:p>
              </w:tc>
              <w:tc>
                <w:tcPr>
                  <w:tcW w:w="4336" w:type="dxa"/>
                  <w:shd w:val="clear" w:color="auto" w:fill="auto"/>
                </w:tcPr>
                <w:p>
                  <w:pPr>
                    <w:jc w:val="center"/>
                    <w:rPr>
                      <w:rFonts w:eastAsia="仿宋_GB2312"/>
                      <w:b/>
                      <w:sz w:val="28"/>
                      <w:szCs w:val="28"/>
                      <w:highlight w:val="none"/>
                    </w:rPr>
                  </w:pPr>
                  <w:r>
                    <w:rPr>
                      <w:rFonts w:eastAsia="仿宋_GB2312"/>
                      <w:b/>
                      <w:sz w:val="28"/>
                      <w:szCs w:val="28"/>
                      <w:highlight w:val="none"/>
                    </w:rPr>
                    <w:t>乙方</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46" w:hRule="atLeast"/>
              </w:trPr>
              <w:tc>
                <w:tcPr>
                  <w:tcW w:w="4335" w:type="dxa"/>
                  <w:shd w:val="clear" w:color="auto" w:fill="auto"/>
                </w:tcPr>
                <w:p>
                  <w:pPr>
                    <w:ind w:left="630" w:hanging="630" w:hangingChars="300"/>
                    <w:rPr>
                      <w:rFonts w:eastAsia="仿宋_GB2312"/>
                      <w:szCs w:val="21"/>
                      <w:highlight w:val="none"/>
                    </w:rPr>
                  </w:pPr>
                  <w:r>
                    <w:rPr>
                      <w:rFonts w:eastAsia="仿宋_GB2312"/>
                      <w:szCs w:val="21"/>
                      <w:highlight w:val="none"/>
                    </w:rPr>
                    <w:t>名称（盖章）：</w:t>
                  </w:r>
                </w:p>
                <w:p>
                  <w:pPr>
                    <w:ind w:left="630" w:hanging="630" w:hangingChars="300"/>
                    <w:rPr>
                      <w:rFonts w:eastAsia="仿宋_GB2312"/>
                      <w:szCs w:val="21"/>
                      <w:highlight w:val="none"/>
                    </w:rPr>
                  </w:pPr>
                </w:p>
                <w:p>
                  <w:pPr>
                    <w:ind w:left="630" w:hanging="630" w:hangingChars="300"/>
                    <w:rPr>
                      <w:rFonts w:eastAsia="仿宋_GB2312"/>
                      <w:szCs w:val="21"/>
                      <w:highlight w:val="none"/>
                    </w:rPr>
                  </w:pPr>
                  <w:r>
                    <w:rPr>
                      <w:rFonts w:eastAsia="仿宋_GB2312"/>
                      <w:szCs w:val="21"/>
                      <w:highlight w:val="none"/>
                    </w:rPr>
                    <w:t>地址：</w:t>
                  </w:r>
                </w:p>
                <w:p>
                  <w:pPr>
                    <w:ind w:left="630" w:hanging="630" w:hangingChars="300"/>
                    <w:rPr>
                      <w:rFonts w:eastAsia="仿宋_GB2312"/>
                      <w:szCs w:val="21"/>
                      <w:highlight w:val="none"/>
                    </w:rPr>
                  </w:pPr>
                </w:p>
                <w:p>
                  <w:pPr>
                    <w:rPr>
                      <w:rFonts w:eastAsia="仿宋_GB2312"/>
                      <w:szCs w:val="21"/>
                      <w:highlight w:val="none"/>
                    </w:rPr>
                  </w:pPr>
                  <w:r>
                    <w:rPr>
                      <w:rFonts w:eastAsia="仿宋_GB2312"/>
                      <w:szCs w:val="21"/>
                      <w:highlight w:val="none"/>
                    </w:rPr>
                    <w:t>委托代理人（签字）：</w:t>
                  </w:r>
                </w:p>
                <w:p>
                  <w:pPr>
                    <w:rPr>
                      <w:rFonts w:eastAsia="仿宋_GB2312"/>
                      <w:szCs w:val="21"/>
                      <w:highlight w:val="none"/>
                    </w:rPr>
                  </w:pPr>
                </w:p>
                <w:p>
                  <w:pPr>
                    <w:rPr>
                      <w:rFonts w:eastAsia="仿宋_GB2312"/>
                      <w:szCs w:val="21"/>
                      <w:highlight w:val="none"/>
                    </w:rPr>
                  </w:pPr>
                  <w:r>
                    <w:rPr>
                      <w:rFonts w:hint="eastAsia" w:eastAsia="仿宋_GB2312"/>
                      <w:szCs w:val="21"/>
                      <w:highlight w:val="none"/>
                    </w:rPr>
                    <w:t xml:space="preserve">日期： </w:t>
                  </w:r>
                  <w:r>
                    <w:rPr>
                      <w:rFonts w:eastAsia="仿宋_GB2312"/>
                      <w:szCs w:val="21"/>
                      <w:highlight w:val="none"/>
                    </w:rPr>
                    <w:t xml:space="preserve">    </w:t>
                  </w:r>
                  <w:r>
                    <w:rPr>
                      <w:rFonts w:hint="eastAsia" w:eastAsia="仿宋_GB2312"/>
                      <w:szCs w:val="21"/>
                      <w:highlight w:val="none"/>
                    </w:rPr>
                    <w:t xml:space="preserve">年 </w:t>
                  </w:r>
                  <w:r>
                    <w:rPr>
                      <w:rFonts w:eastAsia="仿宋_GB2312"/>
                      <w:szCs w:val="21"/>
                      <w:highlight w:val="none"/>
                    </w:rPr>
                    <w:t xml:space="preserve">  </w:t>
                  </w:r>
                  <w:r>
                    <w:rPr>
                      <w:rFonts w:hint="eastAsia" w:eastAsia="仿宋_GB2312"/>
                      <w:szCs w:val="21"/>
                      <w:highlight w:val="none"/>
                    </w:rPr>
                    <w:t xml:space="preserve">月 </w:t>
                  </w:r>
                  <w:r>
                    <w:rPr>
                      <w:rFonts w:eastAsia="仿宋_GB2312"/>
                      <w:szCs w:val="21"/>
                      <w:highlight w:val="none"/>
                    </w:rPr>
                    <w:t xml:space="preserve">  </w:t>
                  </w:r>
                  <w:r>
                    <w:rPr>
                      <w:rFonts w:hint="eastAsia" w:eastAsia="仿宋_GB2312"/>
                      <w:szCs w:val="21"/>
                      <w:highlight w:val="none"/>
                    </w:rPr>
                    <w:t>日</w:t>
                  </w:r>
                </w:p>
                <w:p>
                  <w:pPr>
                    <w:rPr>
                      <w:rFonts w:eastAsia="仿宋_GB2312"/>
                      <w:szCs w:val="21"/>
                      <w:highlight w:val="none"/>
                    </w:rPr>
                  </w:pPr>
                </w:p>
                <w:p>
                  <w:pPr>
                    <w:rPr>
                      <w:rFonts w:eastAsia="仿宋_GB2312"/>
                      <w:szCs w:val="21"/>
                      <w:highlight w:val="none"/>
                    </w:rPr>
                  </w:pPr>
                  <w:r>
                    <w:rPr>
                      <w:rFonts w:eastAsia="仿宋_GB2312"/>
                      <w:szCs w:val="21"/>
                      <w:highlight w:val="none"/>
                    </w:rPr>
                    <w:t>电话：</w:t>
                  </w:r>
                </w:p>
                <w:p>
                  <w:pPr>
                    <w:rPr>
                      <w:rFonts w:eastAsia="仿宋_GB2312"/>
                      <w:szCs w:val="21"/>
                      <w:highlight w:val="none"/>
                    </w:rPr>
                  </w:pPr>
                </w:p>
                <w:p>
                  <w:pPr>
                    <w:rPr>
                      <w:rFonts w:eastAsia="仿宋_GB2312"/>
                      <w:szCs w:val="21"/>
                      <w:highlight w:val="none"/>
                    </w:rPr>
                  </w:pPr>
                  <w:r>
                    <w:rPr>
                      <w:rFonts w:eastAsia="仿宋_GB2312"/>
                      <w:szCs w:val="21"/>
                      <w:highlight w:val="none"/>
                    </w:rPr>
                    <w:t>传真：</w:t>
                  </w:r>
                </w:p>
                <w:p>
                  <w:pPr>
                    <w:rPr>
                      <w:rFonts w:eastAsia="仿宋_GB2312"/>
                      <w:szCs w:val="21"/>
                      <w:highlight w:val="none"/>
                    </w:rPr>
                  </w:pPr>
                </w:p>
                <w:p>
                  <w:pPr>
                    <w:rPr>
                      <w:rFonts w:eastAsia="仿宋_GB2312"/>
                      <w:szCs w:val="21"/>
                      <w:highlight w:val="none"/>
                    </w:rPr>
                  </w:pPr>
                  <w:r>
                    <w:rPr>
                      <w:rFonts w:eastAsia="仿宋_GB2312"/>
                      <w:szCs w:val="21"/>
                      <w:highlight w:val="none"/>
                    </w:rPr>
                    <w:t xml:space="preserve">开户银行： </w:t>
                  </w:r>
                </w:p>
                <w:p>
                  <w:pPr>
                    <w:rPr>
                      <w:rFonts w:eastAsia="仿宋_GB2312"/>
                      <w:szCs w:val="21"/>
                      <w:highlight w:val="none"/>
                    </w:rPr>
                  </w:pPr>
                  <w:r>
                    <w:rPr>
                      <w:rFonts w:eastAsia="仿宋_GB2312"/>
                      <w:szCs w:val="21"/>
                      <w:highlight w:val="none"/>
                    </w:rPr>
                    <w:t xml:space="preserve">账号： </w:t>
                  </w:r>
                </w:p>
                <w:p>
                  <w:pPr>
                    <w:rPr>
                      <w:rFonts w:eastAsia="仿宋_GB2312"/>
                      <w:szCs w:val="21"/>
                      <w:highlight w:val="none"/>
                    </w:rPr>
                  </w:pPr>
                  <w:r>
                    <w:rPr>
                      <w:rFonts w:eastAsia="仿宋_GB2312"/>
                      <w:szCs w:val="21"/>
                      <w:highlight w:val="none"/>
                    </w:rPr>
                    <w:t>统一社会信用代码：</w:t>
                  </w:r>
                </w:p>
              </w:tc>
              <w:tc>
                <w:tcPr>
                  <w:tcW w:w="4336" w:type="dxa"/>
                  <w:shd w:val="clear" w:color="auto" w:fill="auto"/>
                </w:tcPr>
                <w:p>
                  <w:pPr>
                    <w:ind w:left="1470" w:hanging="1470" w:hangingChars="700"/>
                    <w:rPr>
                      <w:rFonts w:eastAsia="仿宋_GB2312"/>
                      <w:szCs w:val="21"/>
                      <w:highlight w:val="none"/>
                    </w:rPr>
                  </w:pPr>
                  <w:r>
                    <w:rPr>
                      <w:rFonts w:eastAsia="仿宋_GB2312"/>
                      <w:szCs w:val="21"/>
                      <w:highlight w:val="none"/>
                    </w:rPr>
                    <w:t>名称（盖章）：</w:t>
                  </w:r>
                </w:p>
                <w:p>
                  <w:pPr>
                    <w:ind w:left="1470" w:hanging="1470" w:hangingChars="700"/>
                    <w:rPr>
                      <w:rFonts w:eastAsia="仿宋_GB2312"/>
                      <w:szCs w:val="21"/>
                      <w:highlight w:val="none"/>
                    </w:rPr>
                  </w:pPr>
                </w:p>
                <w:p>
                  <w:pPr>
                    <w:ind w:left="630" w:hanging="630" w:hangingChars="300"/>
                    <w:rPr>
                      <w:rFonts w:eastAsia="仿宋_GB2312"/>
                      <w:szCs w:val="21"/>
                      <w:highlight w:val="none"/>
                    </w:rPr>
                  </w:pPr>
                  <w:r>
                    <w:rPr>
                      <w:rFonts w:eastAsia="仿宋_GB2312"/>
                      <w:szCs w:val="21"/>
                      <w:highlight w:val="none"/>
                    </w:rPr>
                    <w:t>地址：</w:t>
                  </w:r>
                </w:p>
                <w:p>
                  <w:pPr>
                    <w:rPr>
                      <w:rFonts w:eastAsia="仿宋_GB2312"/>
                      <w:szCs w:val="21"/>
                      <w:highlight w:val="none"/>
                    </w:rPr>
                  </w:pPr>
                </w:p>
                <w:p>
                  <w:pPr>
                    <w:rPr>
                      <w:rFonts w:eastAsia="仿宋_GB2312"/>
                      <w:szCs w:val="21"/>
                      <w:highlight w:val="none"/>
                    </w:rPr>
                  </w:pPr>
                  <w:r>
                    <w:rPr>
                      <w:rFonts w:eastAsia="仿宋_GB2312"/>
                      <w:szCs w:val="21"/>
                      <w:highlight w:val="none"/>
                    </w:rPr>
                    <w:t>委托代理人（签字）：</w:t>
                  </w:r>
                </w:p>
                <w:p>
                  <w:pPr>
                    <w:rPr>
                      <w:rFonts w:eastAsia="仿宋_GB2312"/>
                      <w:szCs w:val="21"/>
                      <w:highlight w:val="none"/>
                    </w:rPr>
                  </w:pPr>
                </w:p>
                <w:p>
                  <w:pPr>
                    <w:rPr>
                      <w:rFonts w:eastAsia="仿宋_GB2312"/>
                      <w:szCs w:val="21"/>
                      <w:highlight w:val="none"/>
                    </w:rPr>
                  </w:pPr>
                  <w:r>
                    <w:rPr>
                      <w:rFonts w:hint="eastAsia" w:eastAsia="仿宋_GB2312"/>
                      <w:szCs w:val="21"/>
                      <w:highlight w:val="none"/>
                    </w:rPr>
                    <w:t xml:space="preserve">日期： </w:t>
                  </w:r>
                  <w:r>
                    <w:rPr>
                      <w:rFonts w:eastAsia="仿宋_GB2312"/>
                      <w:szCs w:val="21"/>
                      <w:highlight w:val="none"/>
                    </w:rPr>
                    <w:t xml:space="preserve">    </w:t>
                  </w:r>
                  <w:r>
                    <w:rPr>
                      <w:rFonts w:hint="eastAsia" w:eastAsia="仿宋_GB2312"/>
                      <w:szCs w:val="21"/>
                      <w:highlight w:val="none"/>
                    </w:rPr>
                    <w:t xml:space="preserve">年 </w:t>
                  </w:r>
                  <w:r>
                    <w:rPr>
                      <w:rFonts w:eastAsia="仿宋_GB2312"/>
                      <w:szCs w:val="21"/>
                      <w:highlight w:val="none"/>
                    </w:rPr>
                    <w:t xml:space="preserve">  </w:t>
                  </w:r>
                  <w:r>
                    <w:rPr>
                      <w:rFonts w:hint="eastAsia" w:eastAsia="仿宋_GB2312"/>
                      <w:szCs w:val="21"/>
                      <w:highlight w:val="none"/>
                    </w:rPr>
                    <w:t xml:space="preserve">月 </w:t>
                  </w:r>
                  <w:r>
                    <w:rPr>
                      <w:rFonts w:eastAsia="仿宋_GB2312"/>
                      <w:szCs w:val="21"/>
                      <w:highlight w:val="none"/>
                    </w:rPr>
                    <w:t xml:space="preserve">  </w:t>
                  </w:r>
                  <w:r>
                    <w:rPr>
                      <w:rFonts w:hint="eastAsia" w:eastAsia="仿宋_GB2312"/>
                      <w:szCs w:val="21"/>
                      <w:highlight w:val="none"/>
                    </w:rPr>
                    <w:t>日</w:t>
                  </w:r>
                </w:p>
                <w:p>
                  <w:pPr>
                    <w:rPr>
                      <w:rFonts w:eastAsia="仿宋_GB2312"/>
                      <w:szCs w:val="21"/>
                      <w:highlight w:val="none"/>
                    </w:rPr>
                  </w:pPr>
                </w:p>
                <w:p>
                  <w:pPr>
                    <w:rPr>
                      <w:rFonts w:eastAsia="仿宋_GB2312"/>
                      <w:szCs w:val="21"/>
                      <w:highlight w:val="none"/>
                    </w:rPr>
                  </w:pPr>
                  <w:r>
                    <w:rPr>
                      <w:rFonts w:eastAsia="仿宋_GB2312"/>
                      <w:szCs w:val="21"/>
                      <w:highlight w:val="none"/>
                    </w:rPr>
                    <w:t>电话：</w:t>
                  </w:r>
                </w:p>
                <w:p>
                  <w:pPr>
                    <w:rPr>
                      <w:rFonts w:eastAsia="仿宋_GB2312"/>
                      <w:szCs w:val="21"/>
                      <w:highlight w:val="none"/>
                    </w:rPr>
                  </w:pPr>
                </w:p>
                <w:p>
                  <w:pPr>
                    <w:rPr>
                      <w:rFonts w:eastAsia="仿宋_GB2312"/>
                      <w:szCs w:val="21"/>
                      <w:highlight w:val="none"/>
                    </w:rPr>
                  </w:pPr>
                  <w:r>
                    <w:rPr>
                      <w:rFonts w:eastAsia="仿宋_GB2312"/>
                      <w:szCs w:val="21"/>
                      <w:highlight w:val="none"/>
                    </w:rPr>
                    <w:t>传真：</w:t>
                  </w:r>
                </w:p>
                <w:p>
                  <w:pPr>
                    <w:spacing w:line="560" w:lineRule="exact"/>
                    <w:rPr>
                      <w:rFonts w:eastAsia="仿宋_GB2312"/>
                      <w:szCs w:val="21"/>
                      <w:highlight w:val="none"/>
                    </w:rPr>
                  </w:pPr>
                  <w:r>
                    <w:rPr>
                      <w:rFonts w:eastAsia="仿宋_GB2312"/>
                      <w:szCs w:val="21"/>
                      <w:highlight w:val="none"/>
                    </w:rPr>
                    <w:t>开户银行：</w:t>
                  </w:r>
                </w:p>
                <w:p>
                  <w:pPr>
                    <w:rPr>
                      <w:rFonts w:eastAsia="仿宋_GB2312"/>
                      <w:szCs w:val="21"/>
                      <w:highlight w:val="none"/>
                    </w:rPr>
                  </w:pPr>
                  <w:r>
                    <w:rPr>
                      <w:rFonts w:eastAsia="仿宋_GB2312"/>
                      <w:szCs w:val="21"/>
                      <w:highlight w:val="none"/>
                    </w:rPr>
                    <w:t>账号：</w:t>
                  </w:r>
                </w:p>
                <w:p>
                  <w:pPr>
                    <w:rPr>
                      <w:rFonts w:eastAsia="仿宋_GB2312"/>
                      <w:szCs w:val="21"/>
                      <w:highlight w:val="none"/>
                    </w:rPr>
                  </w:pPr>
                  <w:r>
                    <w:rPr>
                      <w:rFonts w:eastAsia="仿宋_GB2312"/>
                      <w:szCs w:val="21"/>
                      <w:highlight w:val="none"/>
                    </w:rPr>
                    <w:t>统一社会信用代码：</w:t>
                  </w:r>
                </w:p>
              </w:tc>
            </w:tr>
          </w:tbl>
          <w:p>
            <w:pPr>
              <w:spacing w:line="360" w:lineRule="auto"/>
              <w:jc w:val="left"/>
              <w:rPr>
                <w:rFonts w:eastAsia="仿宋_GB2312"/>
                <w:sz w:val="28"/>
                <w:szCs w:val="28"/>
                <w:highlight w:val="none"/>
              </w:rPr>
            </w:pPr>
          </w:p>
        </w:tc>
      </w:tr>
    </w:tbl>
    <w:p>
      <w:pPr>
        <w:rPr>
          <w:rFonts w:eastAsia="仿宋_GB2312"/>
          <w:highlight w:val="none"/>
        </w:rPr>
      </w:pPr>
    </w:p>
    <w:p>
      <w:pPr>
        <w:rPr>
          <w:rFonts w:eastAsia="仿宋_GB2312"/>
          <w:highlight w:val="none"/>
        </w:rPr>
      </w:pPr>
    </w:p>
    <w:p>
      <w:pPr>
        <w:rPr>
          <w:highlight w:val="none"/>
        </w:rPr>
      </w:pPr>
    </w:p>
    <w:p>
      <w:pPr>
        <w:rPr>
          <w:highlight w:val="none"/>
        </w:rPr>
      </w:pPr>
    </w:p>
    <w:p>
      <w:pPr>
        <w:spacing w:before="120" w:beforeLines="50" w:line="300" w:lineRule="auto"/>
        <w:rPr>
          <w:rFonts w:ascii="仿宋_GB2312" w:hAnsi="仿宋" w:eastAsia="仿宋_GB2312"/>
          <w:sz w:val="32"/>
          <w:szCs w:val="32"/>
          <w:highlight w:val="none"/>
        </w:rPr>
      </w:pPr>
    </w:p>
    <w:p>
      <w:pPr>
        <w:rPr>
          <w:highlight w:val="none"/>
        </w:rPr>
      </w:pPr>
    </w:p>
    <w:p>
      <w:pPr>
        <w:spacing w:before="240" w:beforeLines="100" w:line="360" w:lineRule="exact"/>
        <w:rPr>
          <w:rFonts w:ascii="黑体" w:hAnsi="黑体" w:eastAsia="黑体" w:cs="黑体"/>
          <w:spacing w:val="40"/>
          <w:sz w:val="28"/>
          <w:szCs w:val="28"/>
          <w:highlight w:val="none"/>
        </w:rPr>
      </w:pPr>
    </w:p>
    <w:p>
      <w:pPr>
        <w:spacing w:line="520" w:lineRule="exact"/>
        <w:ind w:firstLine="3544"/>
        <w:jc w:val="center"/>
        <w:rPr>
          <w:rFonts w:ascii="仿宋_GB2312" w:eastAsia="仿宋_GB2312"/>
          <w:sz w:val="32"/>
          <w:szCs w:val="32"/>
          <w:highlight w:val="none"/>
        </w:rPr>
      </w:pPr>
    </w:p>
    <w:sectPr>
      <w:footerReference r:id="rId7" w:type="first"/>
      <w:headerReference r:id="rId5" w:type="default"/>
      <w:footerReference r:id="rId6" w:type="default"/>
      <w:pgSz w:w="11906" w:h="16838"/>
      <w:pgMar w:top="2098" w:right="1474" w:bottom="1985" w:left="1588" w:header="851" w:footer="1247" w:gutter="0"/>
      <w:pgNumType w:chapSep="em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20B0604020202020204"/>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fldChar w:fldCharType="begin"/>
    </w:r>
    <w:r>
      <w:rPr>
        <w:lang w:val="zh-CN"/>
      </w:rPr>
      <w:instrText xml:space="preserve"> PAGE   \* MERGEFORMAT </w:instrText>
    </w:r>
    <w:r>
      <w:rPr>
        <w:lang w:val="zh-CN"/>
      </w:rPr>
      <w:fldChar w:fldCharType="separate"/>
    </w:r>
    <w:r>
      <w:rPr>
        <w:lang w:val="zh-CN"/>
      </w:rPr>
      <w:t>26</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Fonts w:ascii="仿宋" w:hAnsi="仿宋" w:eastAsia="仿宋"/>
      </w:rPr>
    </w:pPr>
    <w:r>
      <w:rPr>
        <w:rStyle w:val="14"/>
        <w:rFonts w:ascii="仿宋" w:hAnsi="仿宋" w:eastAsia="仿宋" w:cs="仿宋"/>
        <w:sz w:val="28"/>
        <w:szCs w:val="28"/>
      </w:rPr>
      <w:t xml:space="preserve">— </w:t>
    </w:r>
    <w:r>
      <w:rPr>
        <w:rFonts w:ascii="仿宋" w:hAnsi="仿宋" w:eastAsia="仿宋" w:cs="仿宋"/>
        <w:sz w:val="28"/>
        <w:szCs w:val="28"/>
      </w:rPr>
      <w:fldChar w:fldCharType="begin"/>
    </w:r>
    <w:r>
      <w:rPr>
        <w:rStyle w:val="14"/>
        <w:rFonts w:ascii="仿宋" w:hAnsi="仿宋" w:eastAsia="仿宋" w:cs="仿宋"/>
        <w:sz w:val="28"/>
        <w:szCs w:val="28"/>
      </w:rPr>
      <w:instrText xml:space="preserve">PAGE  </w:instrText>
    </w:r>
    <w:r>
      <w:rPr>
        <w:rFonts w:ascii="仿宋" w:hAnsi="仿宋" w:eastAsia="仿宋" w:cs="仿宋"/>
        <w:sz w:val="28"/>
        <w:szCs w:val="28"/>
      </w:rPr>
      <w:fldChar w:fldCharType="separate"/>
    </w:r>
    <w:r>
      <w:rPr>
        <w:rStyle w:val="14"/>
        <w:rFonts w:ascii="仿宋" w:hAnsi="仿宋" w:eastAsia="仿宋" w:cs="仿宋"/>
        <w:sz w:val="28"/>
        <w:szCs w:val="28"/>
      </w:rPr>
      <w:t>2</w:t>
    </w:r>
    <w:r>
      <w:rPr>
        <w:rFonts w:ascii="仿宋" w:hAnsi="仿宋" w:eastAsia="仿宋" w:cs="仿宋"/>
        <w:sz w:val="28"/>
        <w:szCs w:val="28"/>
      </w:rPr>
      <w:fldChar w:fldCharType="end"/>
    </w:r>
    <w:r>
      <w:rPr>
        <w:rStyle w:val="14"/>
        <w:rFonts w:ascii="仿宋" w:hAnsi="仿宋" w:eastAsia="仿宋" w:cs="仿宋"/>
        <w:sz w:val="28"/>
        <w:szCs w:val="28"/>
      </w:rPr>
      <w:t xml:space="preserve"> —</w:t>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framePr w:wrap="around" w:vAnchor="text" w:hAnchor="margin" w:xAlign="outside" w:y="1"/>
      <w:rPr>
        <w:rStyle w:val="14"/>
        <w:rFonts w:ascii="仿宋" w:hAnsi="仿宋" w:eastAsia="仿宋"/>
      </w:rPr>
    </w:pPr>
    <w:r>
      <w:rPr>
        <w:rStyle w:val="14"/>
        <w:rFonts w:ascii="仿宋" w:hAnsi="仿宋" w:eastAsia="仿宋" w:cs="仿宋"/>
        <w:sz w:val="28"/>
        <w:szCs w:val="28"/>
      </w:rPr>
      <w:t xml:space="preserve">— </w:t>
    </w:r>
    <w:r>
      <w:rPr>
        <w:rFonts w:ascii="仿宋" w:hAnsi="仿宋" w:eastAsia="仿宋" w:cs="仿宋"/>
        <w:sz w:val="28"/>
        <w:szCs w:val="28"/>
      </w:rPr>
      <w:fldChar w:fldCharType="begin"/>
    </w:r>
    <w:r>
      <w:rPr>
        <w:rStyle w:val="14"/>
        <w:rFonts w:ascii="仿宋" w:hAnsi="仿宋" w:eastAsia="仿宋" w:cs="仿宋"/>
        <w:sz w:val="28"/>
        <w:szCs w:val="28"/>
      </w:rPr>
      <w:instrText xml:space="preserve">PAGE  </w:instrText>
    </w:r>
    <w:r>
      <w:rPr>
        <w:rFonts w:ascii="仿宋" w:hAnsi="仿宋" w:eastAsia="仿宋" w:cs="仿宋"/>
        <w:sz w:val="28"/>
        <w:szCs w:val="28"/>
      </w:rPr>
      <w:fldChar w:fldCharType="separate"/>
    </w:r>
    <w:r>
      <w:rPr>
        <w:rStyle w:val="14"/>
        <w:rFonts w:ascii="仿宋" w:hAnsi="仿宋" w:eastAsia="仿宋" w:cs="仿宋"/>
        <w:sz w:val="28"/>
        <w:szCs w:val="28"/>
      </w:rPr>
      <w:t>1</w:t>
    </w:r>
    <w:r>
      <w:rPr>
        <w:rFonts w:ascii="仿宋" w:hAnsi="仿宋" w:eastAsia="仿宋" w:cs="仿宋"/>
        <w:sz w:val="28"/>
        <w:szCs w:val="28"/>
      </w:rPr>
      <w:fldChar w:fldCharType="end"/>
    </w:r>
    <w:r>
      <w:rPr>
        <w:rStyle w:val="14"/>
        <w:rFonts w:ascii="仿宋" w:hAnsi="仿宋" w:eastAsia="仿宋" w:cs="仿宋"/>
        <w:sz w:val="28"/>
        <w:szCs w:val="28"/>
      </w:rPr>
      <w:t xml:space="preserve"> —</w: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B18E5"/>
    <w:multiLevelType w:val="multilevel"/>
    <w:tmpl w:val="0FCB18E5"/>
    <w:lvl w:ilvl="0" w:tentative="0">
      <w:start w:val="1"/>
      <w:numFmt w:val="decimal"/>
      <w:lvlText w:val="%1."/>
      <w:lvlJc w:val="left"/>
      <w:pPr>
        <w:ind w:left="846" w:hanging="420"/>
      </w:pPr>
      <w:rPr>
        <w:rFonts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abstractNum w:abstractNumId="1">
    <w:nsid w:val="12627139"/>
    <w:multiLevelType w:val="multilevel"/>
    <w:tmpl w:val="12627139"/>
    <w:lvl w:ilvl="0" w:tentative="0">
      <w:start w:val="1"/>
      <w:numFmt w:val="decimal"/>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16590F15"/>
    <w:multiLevelType w:val="multilevel"/>
    <w:tmpl w:val="16590F15"/>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3">
    <w:nsid w:val="251E3312"/>
    <w:multiLevelType w:val="multilevel"/>
    <w:tmpl w:val="251E3312"/>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A500878"/>
    <w:multiLevelType w:val="multilevel"/>
    <w:tmpl w:val="2A500878"/>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2C00359C"/>
    <w:multiLevelType w:val="multilevel"/>
    <w:tmpl w:val="2C00359C"/>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6">
    <w:nsid w:val="30CE7F10"/>
    <w:multiLevelType w:val="multilevel"/>
    <w:tmpl w:val="30CE7F10"/>
    <w:lvl w:ilvl="0" w:tentative="0">
      <w:start w:val="1"/>
      <w:numFmt w:val="decimal"/>
      <w:lvlText w:val="%1."/>
      <w:lvlJc w:val="left"/>
      <w:pPr>
        <w:ind w:left="990" w:hanging="420"/>
      </w:pPr>
      <w:rPr>
        <w:rFonts w:cs="Times New Roman"/>
      </w:rPr>
    </w:lvl>
    <w:lvl w:ilvl="1" w:tentative="0">
      <w:start w:val="1"/>
      <w:numFmt w:val="lowerLetter"/>
      <w:lvlText w:val="%2)"/>
      <w:lvlJc w:val="left"/>
      <w:pPr>
        <w:ind w:left="1410" w:hanging="420"/>
      </w:pPr>
      <w:rPr>
        <w:rFonts w:cs="Times New Roman"/>
      </w:rPr>
    </w:lvl>
    <w:lvl w:ilvl="2" w:tentative="0">
      <w:start w:val="1"/>
      <w:numFmt w:val="lowerRoman"/>
      <w:lvlText w:val="%3."/>
      <w:lvlJc w:val="right"/>
      <w:pPr>
        <w:ind w:left="1830" w:hanging="420"/>
      </w:pPr>
      <w:rPr>
        <w:rFonts w:cs="Times New Roman"/>
      </w:rPr>
    </w:lvl>
    <w:lvl w:ilvl="3" w:tentative="0">
      <w:start w:val="1"/>
      <w:numFmt w:val="decimal"/>
      <w:lvlText w:val="%4."/>
      <w:lvlJc w:val="left"/>
      <w:pPr>
        <w:ind w:left="2250" w:hanging="420"/>
      </w:pPr>
      <w:rPr>
        <w:rFonts w:cs="Times New Roman"/>
      </w:rPr>
    </w:lvl>
    <w:lvl w:ilvl="4" w:tentative="0">
      <w:start w:val="1"/>
      <w:numFmt w:val="lowerLetter"/>
      <w:lvlText w:val="%5)"/>
      <w:lvlJc w:val="left"/>
      <w:pPr>
        <w:ind w:left="2670" w:hanging="420"/>
      </w:pPr>
      <w:rPr>
        <w:rFonts w:cs="Times New Roman"/>
      </w:rPr>
    </w:lvl>
    <w:lvl w:ilvl="5" w:tentative="0">
      <w:start w:val="1"/>
      <w:numFmt w:val="lowerRoman"/>
      <w:lvlText w:val="%6."/>
      <w:lvlJc w:val="right"/>
      <w:pPr>
        <w:ind w:left="3090" w:hanging="420"/>
      </w:pPr>
      <w:rPr>
        <w:rFonts w:cs="Times New Roman"/>
      </w:rPr>
    </w:lvl>
    <w:lvl w:ilvl="6" w:tentative="0">
      <w:start w:val="1"/>
      <w:numFmt w:val="decimal"/>
      <w:lvlText w:val="%7."/>
      <w:lvlJc w:val="left"/>
      <w:pPr>
        <w:ind w:left="3510" w:hanging="420"/>
      </w:pPr>
      <w:rPr>
        <w:rFonts w:cs="Times New Roman"/>
      </w:rPr>
    </w:lvl>
    <w:lvl w:ilvl="7" w:tentative="0">
      <w:start w:val="1"/>
      <w:numFmt w:val="lowerLetter"/>
      <w:lvlText w:val="%8)"/>
      <w:lvlJc w:val="left"/>
      <w:pPr>
        <w:ind w:left="3930" w:hanging="420"/>
      </w:pPr>
      <w:rPr>
        <w:rFonts w:cs="Times New Roman"/>
      </w:rPr>
    </w:lvl>
    <w:lvl w:ilvl="8" w:tentative="0">
      <w:start w:val="1"/>
      <w:numFmt w:val="lowerRoman"/>
      <w:lvlText w:val="%9."/>
      <w:lvlJc w:val="right"/>
      <w:pPr>
        <w:ind w:left="4350" w:hanging="420"/>
      </w:pPr>
      <w:rPr>
        <w:rFonts w:cs="Times New Roman"/>
      </w:rPr>
    </w:lvl>
  </w:abstractNum>
  <w:abstractNum w:abstractNumId="7">
    <w:nsid w:val="476374E6"/>
    <w:multiLevelType w:val="multilevel"/>
    <w:tmpl w:val="476374E6"/>
    <w:lvl w:ilvl="0" w:tentative="0">
      <w:start w:val="1"/>
      <w:numFmt w:val="chineseCountingThousand"/>
      <w:lvlText w:val="第%1条、"/>
      <w:lvlJc w:val="left"/>
      <w:pPr>
        <w:ind w:left="988" w:hanging="420"/>
      </w:pPr>
      <w:rPr>
        <w:rFonts w:hint="default" w:cs="Times New Roman"/>
        <w:lang w:val="en-US"/>
      </w:rPr>
    </w:lvl>
    <w:lvl w:ilvl="1" w:tentative="0">
      <w:start w:val="1"/>
      <w:numFmt w:val="decimal"/>
      <w:lvlText w:val="%2、"/>
      <w:lvlJc w:val="left"/>
      <w:pPr>
        <w:ind w:left="3067" w:hanging="945"/>
      </w:pPr>
      <w:rPr>
        <w:rFonts w:hint="default" w:cs="Times New Roman"/>
      </w:rPr>
    </w:lvl>
    <w:lvl w:ilvl="2" w:tentative="0">
      <w:start w:val="1"/>
      <w:numFmt w:val="lowerRoman"/>
      <w:lvlText w:val="%3."/>
      <w:lvlJc w:val="right"/>
      <w:pPr>
        <w:ind w:left="2962" w:hanging="420"/>
      </w:pPr>
      <w:rPr>
        <w:rFonts w:cs="Times New Roman"/>
      </w:rPr>
    </w:lvl>
    <w:lvl w:ilvl="3" w:tentative="0">
      <w:start w:val="1"/>
      <w:numFmt w:val="decimal"/>
      <w:lvlText w:val="%4."/>
      <w:lvlJc w:val="left"/>
      <w:pPr>
        <w:ind w:left="3382" w:hanging="420"/>
      </w:pPr>
      <w:rPr>
        <w:rFonts w:cs="Times New Roman"/>
      </w:rPr>
    </w:lvl>
    <w:lvl w:ilvl="4" w:tentative="0">
      <w:start w:val="1"/>
      <w:numFmt w:val="lowerLetter"/>
      <w:lvlText w:val="%5)"/>
      <w:lvlJc w:val="left"/>
      <w:pPr>
        <w:ind w:left="3802" w:hanging="420"/>
      </w:pPr>
      <w:rPr>
        <w:rFonts w:cs="Times New Roman"/>
      </w:rPr>
    </w:lvl>
    <w:lvl w:ilvl="5" w:tentative="0">
      <w:start w:val="1"/>
      <w:numFmt w:val="lowerRoman"/>
      <w:lvlText w:val="%6."/>
      <w:lvlJc w:val="right"/>
      <w:pPr>
        <w:ind w:left="4222" w:hanging="420"/>
      </w:pPr>
      <w:rPr>
        <w:rFonts w:cs="Times New Roman"/>
      </w:rPr>
    </w:lvl>
    <w:lvl w:ilvl="6" w:tentative="0">
      <w:start w:val="1"/>
      <w:numFmt w:val="decimal"/>
      <w:lvlText w:val="%7."/>
      <w:lvlJc w:val="left"/>
      <w:pPr>
        <w:ind w:left="4642" w:hanging="420"/>
      </w:pPr>
      <w:rPr>
        <w:rFonts w:cs="Times New Roman"/>
      </w:rPr>
    </w:lvl>
    <w:lvl w:ilvl="7" w:tentative="0">
      <w:start w:val="1"/>
      <w:numFmt w:val="lowerLetter"/>
      <w:lvlText w:val="%8)"/>
      <w:lvlJc w:val="left"/>
      <w:pPr>
        <w:ind w:left="5062" w:hanging="420"/>
      </w:pPr>
      <w:rPr>
        <w:rFonts w:cs="Times New Roman"/>
      </w:rPr>
    </w:lvl>
    <w:lvl w:ilvl="8" w:tentative="0">
      <w:start w:val="1"/>
      <w:numFmt w:val="lowerRoman"/>
      <w:lvlText w:val="%9."/>
      <w:lvlJc w:val="right"/>
      <w:pPr>
        <w:ind w:left="5482" w:hanging="420"/>
      </w:pPr>
      <w:rPr>
        <w:rFonts w:cs="Times New Roman"/>
      </w:rPr>
    </w:lvl>
  </w:abstractNum>
  <w:abstractNum w:abstractNumId="8">
    <w:nsid w:val="56B109EF"/>
    <w:multiLevelType w:val="multilevel"/>
    <w:tmpl w:val="56B109EF"/>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9">
    <w:nsid w:val="602F3342"/>
    <w:multiLevelType w:val="singleLevel"/>
    <w:tmpl w:val="602F3342"/>
    <w:lvl w:ilvl="0" w:tentative="0">
      <w:start w:val="1"/>
      <w:numFmt w:val="decimal"/>
      <w:suff w:val="nothing"/>
      <w:lvlText w:val="（%1）"/>
      <w:lvlJc w:val="left"/>
    </w:lvl>
  </w:abstractNum>
  <w:abstractNum w:abstractNumId="10">
    <w:nsid w:val="637F4FD7"/>
    <w:multiLevelType w:val="multilevel"/>
    <w:tmpl w:val="637F4FD7"/>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11">
    <w:nsid w:val="6C0668ED"/>
    <w:multiLevelType w:val="multilevel"/>
    <w:tmpl w:val="6C0668ED"/>
    <w:lvl w:ilvl="0" w:tentative="0">
      <w:start w:val="1"/>
      <w:numFmt w:val="decimal"/>
      <w:lvlText w:val="%1."/>
      <w:lvlJc w:val="left"/>
      <w:pPr>
        <w:ind w:left="420"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12">
    <w:nsid w:val="72E914BB"/>
    <w:multiLevelType w:val="multilevel"/>
    <w:tmpl w:val="72E914BB"/>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13">
    <w:nsid w:val="76CF2F7B"/>
    <w:multiLevelType w:val="multilevel"/>
    <w:tmpl w:val="76CF2F7B"/>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14">
    <w:nsid w:val="78A65BAB"/>
    <w:multiLevelType w:val="multilevel"/>
    <w:tmpl w:val="78A65BAB"/>
    <w:lvl w:ilvl="0" w:tentative="0">
      <w:start w:val="1"/>
      <w:numFmt w:val="decimal"/>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1"/>
  </w:num>
  <w:num w:numId="3">
    <w:abstractNumId w:val="14"/>
  </w:num>
  <w:num w:numId="4">
    <w:abstractNumId w:val="9"/>
  </w:num>
  <w:num w:numId="5">
    <w:abstractNumId w:val="7"/>
  </w:num>
  <w:num w:numId="6">
    <w:abstractNumId w:val="13"/>
  </w:num>
  <w:num w:numId="7">
    <w:abstractNumId w:val="12"/>
  </w:num>
  <w:num w:numId="8">
    <w:abstractNumId w:val="6"/>
  </w:num>
  <w:num w:numId="9">
    <w:abstractNumId w:val="5"/>
  </w:num>
  <w:num w:numId="10">
    <w:abstractNumId w:val="10"/>
  </w:num>
  <w:num w:numId="11">
    <w:abstractNumId w:val="11"/>
  </w:num>
  <w:num w:numId="12">
    <w:abstractNumId w:val="8"/>
  </w:num>
  <w:num w:numId="13">
    <w:abstractNumId w:val="4"/>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362D23"/>
    <w:rsid w:val="00222891"/>
    <w:rsid w:val="0026141F"/>
    <w:rsid w:val="002D697F"/>
    <w:rsid w:val="0038687D"/>
    <w:rsid w:val="00457181"/>
    <w:rsid w:val="006C0602"/>
    <w:rsid w:val="008B0D26"/>
    <w:rsid w:val="00983D80"/>
    <w:rsid w:val="00A65537"/>
    <w:rsid w:val="00B126EC"/>
    <w:rsid w:val="00BE1947"/>
    <w:rsid w:val="00EC4C4C"/>
    <w:rsid w:val="00EF4012"/>
    <w:rsid w:val="00F3109F"/>
    <w:rsid w:val="00F95324"/>
    <w:rsid w:val="028F32AF"/>
    <w:rsid w:val="02BF5ECF"/>
    <w:rsid w:val="04B330B0"/>
    <w:rsid w:val="07A35B26"/>
    <w:rsid w:val="08066314"/>
    <w:rsid w:val="08300D5F"/>
    <w:rsid w:val="0B5942E4"/>
    <w:rsid w:val="0B6744DC"/>
    <w:rsid w:val="0C505D11"/>
    <w:rsid w:val="0C613C59"/>
    <w:rsid w:val="0CE425B4"/>
    <w:rsid w:val="121F309E"/>
    <w:rsid w:val="12CE614C"/>
    <w:rsid w:val="155A5810"/>
    <w:rsid w:val="158E17A8"/>
    <w:rsid w:val="17C01BD7"/>
    <w:rsid w:val="190F1CCA"/>
    <w:rsid w:val="1DAB4B52"/>
    <w:rsid w:val="20362D23"/>
    <w:rsid w:val="216D670C"/>
    <w:rsid w:val="256A5000"/>
    <w:rsid w:val="26846D64"/>
    <w:rsid w:val="28AE165A"/>
    <w:rsid w:val="2AD952EB"/>
    <w:rsid w:val="2CF957A0"/>
    <w:rsid w:val="2DAD765E"/>
    <w:rsid w:val="2E537D0D"/>
    <w:rsid w:val="32941BB9"/>
    <w:rsid w:val="32B057E9"/>
    <w:rsid w:val="3610509C"/>
    <w:rsid w:val="37014F81"/>
    <w:rsid w:val="373E1546"/>
    <w:rsid w:val="3A9C358A"/>
    <w:rsid w:val="3C7E0472"/>
    <w:rsid w:val="41317E47"/>
    <w:rsid w:val="42840E66"/>
    <w:rsid w:val="4337377A"/>
    <w:rsid w:val="43563CFF"/>
    <w:rsid w:val="43802555"/>
    <w:rsid w:val="44C125FA"/>
    <w:rsid w:val="45855DCA"/>
    <w:rsid w:val="4787717C"/>
    <w:rsid w:val="4B6F6942"/>
    <w:rsid w:val="4B993BBA"/>
    <w:rsid w:val="4E1C2C35"/>
    <w:rsid w:val="52F40C80"/>
    <w:rsid w:val="551A40C7"/>
    <w:rsid w:val="55E2205A"/>
    <w:rsid w:val="5A634F7D"/>
    <w:rsid w:val="5A6A55D1"/>
    <w:rsid w:val="5B763EA6"/>
    <w:rsid w:val="5D3F733E"/>
    <w:rsid w:val="603B275D"/>
    <w:rsid w:val="64A47F8D"/>
    <w:rsid w:val="67C168F6"/>
    <w:rsid w:val="6B925816"/>
    <w:rsid w:val="6DFC1BE7"/>
    <w:rsid w:val="72103AFD"/>
    <w:rsid w:val="72521A8E"/>
    <w:rsid w:val="73146C01"/>
    <w:rsid w:val="75A76E13"/>
    <w:rsid w:val="77F27ECA"/>
    <w:rsid w:val="7E6975CE"/>
    <w:rsid w:val="7FBE07E5"/>
    <w:rsid w:val="7FC7CB88"/>
    <w:rsid w:val="E6FF3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paragraph" w:styleId="4">
    <w:name w:val="heading 4"/>
    <w:basedOn w:val="1"/>
    <w:next w:val="1"/>
    <w:unhideWhenUsed/>
    <w:qFormat/>
    <w:uiPriority w:val="0"/>
    <w:pPr>
      <w:keepNext/>
      <w:keepLines/>
      <w:spacing w:before="280" w:after="290" w:line="376" w:lineRule="auto"/>
      <w:outlineLvl w:val="3"/>
    </w:pPr>
    <w:rPr>
      <w:rFonts w:ascii="Calibri Light" w:hAnsi="Calibri Light" w:cs="宋体"/>
      <w:b/>
      <w:bCs/>
      <w:sz w:val="28"/>
      <w:szCs w:val="28"/>
    </w:rPr>
  </w:style>
  <w:style w:type="character" w:default="1" w:styleId="13">
    <w:name w:val="Default Paragraph Font"/>
    <w:unhideWhenUsed/>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5">
    <w:name w:val="Body Text"/>
    <w:basedOn w:val="1"/>
    <w:qFormat/>
    <w:uiPriority w:val="0"/>
    <w:pPr>
      <w:widowControl/>
      <w:spacing w:line="360" w:lineRule="auto"/>
    </w:pPr>
    <w:rPr>
      <w:color w:val="FF0000"/>
      <w:sz w:val="20"/>
    </w:rPr>
  </w:style>
  <w:style w:type="paragraph" w:styleId="6">
    <w:name w:val="Body Text Indent"/>
    <w:basedOn w:val="1"/>
    <w:qFormat/>
    <w:uiPriority w:val="0"/>
    <w:pPr>
      <w:ind w:left="420" w:leftChars="200"/>
    </w:pPr>
    <w:rPr>
      <w:rFonts w:ascii="Calibri" w:hAnsi="Calibri" w:eastAsiaTheme="minorEastAsia" w:cstheme="minorBidi"/>
      <w:szCs w:val="22"/>
    </w:rPr>
  </w:style>
  <w:style w:type="paragraph" w:styleId="7">
    <w:name w:val="Balloon Text"/>
    <w:basedOn w:val="1"/>
    <w:link w:val="17"/>
    <w:qFormat/>
    <w:uiPriority w:val="0"/>
    <w:rPr>
      <w:rFonts w:ascii="宋体"/>
      <w:sz w:val="18"/>
      <w:szCs w:val="18"/>
    </w:rPr>
  </w:style>
  <w:style w:type="paragraph" w:styleId="8">
    <w:name w:val="footer"/>
    <w:basedOn w:val="1"/>
    <w:qFormat/>
    <w:uiPriority w:val="99"/>
    <w:pPr>
      <w:tabs>
        <w:tab w:val="center" w:pos="4153"/>
        <w:tab w:val="right" w:pos="8306"/>
      </w:tabs>
      <w:snapToGrid w:val="0"/>
      <w:jc w:val="left"/>
    </w:pPr>
    <w:rPr>
      <w:rFonts w:ascii="Calibri" w:hAnsi="Calibri"/>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toc 1"/>
    <w:basedOn w:val="1"/>
    <w:next w:val="1"/>
    <w:qFormat/>
    <w:uiPriority w:val="39"/>
    <w:pPr>
      <w:tabs>
        <w:tab w:val="right" w:leader="dot" w:pos="8296"/>
      </w:tabs>
      <w:spacing w:before="120"/>
      <w:jc w:val="center"/>
    </w:pPr>
    <w:rPr>
      <w:rFonts w:asciiTheme="minorHAnsi" w:hAnsiTheme="minorHAnsi"/>
      <w:b/>
      <w:bCs/>
      <w:caps/>
      <w:sz w:val="22"/>
      <w:szCs w:val="22"/>
    </w:rPr>
  </w:style>
  <w:style w:type="paragraph" w:styleId="11">
    <w:name w:val="Normal (Web)"/>
    <w:basedOn w:val="1"/>
    <w:qFormat/>
    <w:uiPriority w:val="0"/>
    <w:pPr>
      <w:spacing w:beforeAutospacing="1" w:afterAutospacing="1"/>
      <w:jc w:val="left"/>
    </w:pPr>
    <w:rPr>
      <w:kern w:val="0"/>
      <w:sz w:val="24"/>
    </w:rPr>
  </w:style>
  <w:style w:type="character" w:styleId="14">
    <w:name w:val="page number"/>
    <w:basedOn w:val="13"/>
    <w:qFormat/>
    <w:uiPriority w:val="99"/>
  </w:style>
  <w:style w:type="character" w:customStyle="1" w:styleId="15">
    <w:name w:val="UserStyle_0"/>
    <w:semiHidden/>
    <w:qFormat/>
    <w:uiPriority w:val="0"/>
    <w:rPr>
      <w:kern w:val="2"/>
      <w:sz w:val="21"/>
      <w:szCs w:val="24"/>
      <w:lang w:val="en-US" w:eastAsia="zh-CN" w:bidi="ar-SA"/>
    </w:rPr>
  </w:style>
  <w:style w:type="paragraph" w:customStyle="1" w:styleId="16">
    <w:name w:val="列表段落1"/>
    <w:basedOn w:val="1"/>
    <w:qFormat/>
    <w:uiPriority w:val="34"/>
    <w:pPr>
      <w:ind w:firstLine="420" w:firstLineChars="200"/>
    </w:pPr>
  </w:style>
  <w:style w:type="character" w:customStyle="1" w:styleId="17">
    <w:name w:val="批注框文本 字符"/>
    <w:basedOn w:val="13"/>
    <w:link w:val="7"/>
    <w:qFormat/>
    <w:uiPriority w:val="0"/>
    <w:rPr>
      <w:rFonts w:ascii="宋体" w:hAnsi="Times New Roman" w:eastAsia="宋体" w:cs="Times New Roman"/>
      <w:kern w:val="2"/>
      <w:sz w:val="18"/>
      <w:szCs w:val="18"/>
    </w:rPr>
  </w:style>
  <w:style w:type="paragraph" w:customStyle="1" w:styleId="18">
    <w:name w:val="列出段落1"/>
    <w:basedOn w:val="1"/>
    <w:qFormat/>
    <w:uiPriority w:val="0"/>
    <w:pPr>
      <w:ind w:firstLine="420" w:firstLineChars="200"/>
    </w:pPr>
    <w:rPr>
      <w:szCs w:val="20"/>
    </w:r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四川交投物流有限公司</Company>
  <Pages>53</Pages>
  <Words>2959</Words>
  <Characters>16870</Characters>
  <Lines>140</Lines>
  <Paragraphs>39</Paragraphs>
  <TotalTime>1</TotalTime>
  <ScaleCrop>false</ScaleCrop>
  <LinksUpToDate>false</LinksUpToDate>
  <CharactersWithSpaces>19790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2021-11-02T04:15:00Z</dcterms:created>
  <dc:creator>张意娜</dc:creator>
  <cp:lastModifiedBy>许依寒</cp:lastModifiedBy>
  <cp:lastPrinted>2021-11-11T03:40:00Z</cp:lastPrinted>
  <dcterms:modified xsi:type="dcterms:W3CDTF">2021-11-11T06:59:40Z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