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0" w:lineRule="atLeast"/>
        <w:rPr>
          <w:rFonts w:ascii="方正小标宋_GBK" w:eastAsia="方正小标宋_GBK"/>
          <w:b/>
          <w:sz w:val="44"/>
          <w:szCs w:val="44"/>
          <w:highlight w:val="none"/>
        </w:rPr>
      </w:pPr>
      <w:r>
        <w:rPr>
          <w:rFonts w:ascii="仿宋_GB2312"/>
          <w:sz w:val="28"/>
          <w:szCs w:val="44"/>
          <w:highlight w:val="none"/>
        </w:rPr>
        <w:drawing>
          <wp:anchor distT="0" distB="0" distL="114300" distR="114300" simplePos="0" relativeHeight="251659264" behindDoc="0" locked="0" layoutInCell="1" allowOverlap="1">
            <wp:simplePos x="0" y="0"/>
            <wp:positionH relativeFrom="margin">
              <wp:align>center</wp:align>
            </wp:positionH>
            <wp:positionV relativeFrom="paragraph">
              <wp:posOffset>573405</wp:posOffset>
            </wp:positionV>
            <wp:extent cx="1784985" cy="1784985"/>
            <wp:effectExtent l="0" t="0" r="5715" b="0"/>
            <wp:wrapTopAndBottom/>
            <wp:docPr id="1" name="图片 1" descr="D:\WORK\交投创新\公司标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WORK\交投创新\公司标识.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784985" cy="1784985"/>
                    </a:xfrm>
                    <a:prstGeom prst="rect">
                      <a:avLst/>
                    </a:prstGeom>
                    <a:noFill/>
                    <a:ln>
                      <a:noFill/>
                    </a:ln>
                  </pic:spPr>
                </pic:pic>
              </a:graphicData>
            </a:graphic>
          </wp:anchor>
        </w:drawing>
      </w:r>
    </w:p>
    <w:p>
      <w:pPr>
        <w:adjustRightInd w:val="0"/>
        <w:snapToGrid w:val="0"/>
        <w:spacing w:line="0" w:lineRule="atLeast"/>
        <w:jc w:val="distribute"/>
        <w:rPr>
          <w:rFonts w:ascii="方正小标宋_GBK" w:eastAsia="方正小标宋_GBK"/>
          <w:b/>
          <w:sz w:val="44"/>
          <w:szCs w:val="44"/>
          <w:highlight w:val="none"/>
        </w:rPr>
      </w:pPr>
    </w:p>
    <w:p>
      <w:pPr>
        <w:adjustRightInd w:val="0"/>
        <w:snapToGrid w:val="0"/>
        <w:spacing w:line="0" w:lineRule="atLeast"/>
        <w:jc w:val="distribute"/>
        <w:rPr>
          <w:rFonts w:ascii="仿宋_GB2312"/>
          <w:b/>
          <w:spacing w:val="40"/>
          <w:sz w:val="44"/>
          <w:szCs w:val="44"/>
          <w:highlight w:val="none"/>
        </w:rPr>
      </w:pPr>
      <w:r>
        <w:rPr>
          <w:rFonts w:hint="eastAsia" w:ascii="方正小标宋_GBK" w:eastAsia="方正小标宋_GBK"/>
          <w:b/>
          <w:spacing w:val="40"/>
          <w:sz w:val="44"/>
          <w:szCs w:val="44"/>
          <w:highlight w:val="none"/>
        </w:rPr>
        <w:t>四川交投物流有限公司</w:t>
      </w:r>
    </w:p>
    <w:p>
      <w:pPr>
        <w:adjustRightInd w:val="0"/>
        <w:snapToGrid w:val="0"/>
        <w:spacing w:line="0" w:lineRule="atLeast"/>
        <w:jc w:val="distribute"/>
        <w:rPr>
          <w:rFonts w:ascii="方正小标宋_GBK" w:eastAsia="方正小标宋_GBK"/>
          <w:b/>
          <w:szCs w:val="44"/>
          <w:highlight w:val="none"/>
        </w:rPr>
      </w:pPr>
      <w:r>
        <w:rPr>
          <w:rFonts w:hint="eastAsia" w:ascii="方正小标宋_GBK" w:eastAsia="方正小标宋_GBK"/>
          <w:b/>
          <w:szCs w:val="44"/>
          <w:highlight w:val="none"/>
        </w:rPr>
        <w:t>S</w:t>
      </w:r>
      <w:r>
        <w:rPr>
          <w:rFonts w:ascii="方正小标宋_GBK" w:eastAsia="方正小标宋_GBK"/>
          <w:b/>
          <w:szCs w:val="44"/>
          <w:highlight w:val="none"/>
        </w:rPr>
        <w:t>ICHUAN TRANSPORT</w:t>
      </w:r>
      <w:r>
        <w:rPr>
          <w:rFonts w:hint="eastAsia" w:ascii="方正小标宋_GBK" w:eastAsia="方正小标宋_GBK"/>
          <w:b/>
          <w:szCs w:val="44"/>
          <w:highlight w:val="none"/>
        </w:rPr>
        <w:t>ATION INVESTMENT LOGISTICS</w:t>
      </w:r>
      <w:r>
        <w:rPr>
          <w:rFonts w:ascii="方正小标宋_GBK" w:eastAsia="方正小标宋_GBK"/>
          <w:b/>
          <w:szCs w:val="44"/>
          <w:highlight w:val="none"/>
        </w:rPr>
        <w:t xml:space="preserve"> CO., LTD.</w:t>
      </w:r>
    </w:p>
    <w:p>
      <w:pPr>
        <w:adjustRightInd w:val="0"/>
        <w:snapToGrid w:val="0"/>
        <w:spacing w:line="480" w:lineRule="auto"/>
        <w:rPr>
          <w:rFonts w:ascii="仿宋_GB2312"/>
          <w:b/>
          <w:sz w:val="44"/>
          <w:szCs w:val="44"/>
          <w:highlight w:val="none"/>
        </w:rPr>
      </w:pPr>
    </w:p>
    <w:p>
      <w:pPr>
        <w:adjustRightInd w:val="0"/>
        <w:snapToGrid w:val="0"/>
        <w:spacing w:line="480" w:lineRule="auto"/>
        <w:rPr>
          <w:rFonts w:ascii="仿宋_GB2312"/>
          <w:b/>
          <w:sz w:val="44"/>
          <w:szCs w:val="44"/>
          <w:highlight w:val="none"/>
        </w:rPr>
      </w:pPr>
    </w:p>
    <w:p>
      <w:pPr>
        <w:adjustRightInd w:val="0"/>
        <w:snapToGrid w:val="0"/>
        <w:spacing w:line="640" w:lineRule="exact"/>
        <w:jc w:val="center"/>
        <w:rPr>
          <w:rFonts w:hint="default" w:ascii="方正小标宋_GBK" w:eastAsia="方正小标宋_GBK"/>
          <w:b/>
          <w:spacing w:val="60"/>
          <w:sz w:val="44"/>
          <w:szCs w:val="44"/>
          <w:highlight w:val="none"/>
          <w:lang w:val="en-US" w:eastAsia="zh-CN"/>
        </w:rPr>
      </w:pPr>
      <w:r>
        <w:rPr>
          <w:rFonts w:hint="eastAsia" w:ascii="方正小标宋_GBK" w:eastAsia="方正小标宋_GBK"/>
          <w:b/>
          <w:spacing w:val="60"/>
          <w:sz w:val="44"/>
          <w:szCs w:val="44"/>
          <w:highlight w:val="none"/>
          <w:lang w:val="en-US" w:eastAsia="zh-CN"/>
        </w:rPr>
        <w:t>某现代物流基地</w:t>
      </w:r>
    </w:p>
    <w:p>
      <w:pPr>
        <w:adjustRightInd w:val="0"/>
        <w:snapToGrid w:val="0"/>
        <w:spacing w:line="640" w:lineRule="exact"/>
        <w:jc w:val="center"/>
        <w:rPr>
          <w:rFonts w:hint="default" w:ascii="方正小标宋_GBK" w:eastAsia="方正小标宋_GBK"/>
          <w:b/>
          <w:spacing w:val="60"/>
          <w:sz w:val="44"/>
          <w:szCs w:val="44"/>
          <w:highlight w:val="none"/>
          <w:lang w:val="en-US" w:eastAsia="zh-CN"/>
        </w:rPr>
      </w:pPr>
      <w:r>
        <w:rPr>
          <w:rFonts w:hint="eastAsia" w:ascii="方正小标宋_GBK" w:eastAsia="方正小标宋_GBK"/>
          <w:b/>
          <w:spacing w:val="60"/>
          <w:sz w:val="44"/>
          <w:szCs w:val="44"/>
          <w:highlight w:val="none"/>
        </w:rPr>
        <w:t>项目</w:t>
      </w:r>
      <w:r>
        <w:rPr>
          <w:rFonts w:hint="eastAsia" w:ascii="方正小标宋_GBK" w:eastAsia="方正小标宋_GBK"/>
          <w:b/>
          <w:spacing w:val="60"/>
          <w:sz w:val="44"/>
          <w:szCs w:val="44"/>
          <w:highlight w:val="none"/>
          <w:lang w:val="en-US" w:eastAsia="zh-CN"/>
        </w:rPr>
        <w:t>策划方案咨询服务</w:t>
      </w:r>
    </w:p>
    <w:p>
      <w:pPr>
        <w:adjustRightInd w:val="0"/>
        <w:snapToGrid w:val="0"/>
        <w:spacing w:line="640" w:lineRule="exact"/>
        <w:jc w:val="center"/>
        <w:rPr>
          <w:rFonts w:ascii="方正小标宋_GBK" w:eastAsia="方正小标宋_GBK"/>
          <w:b/>
          <w:spacing w:val="60"/>
          <w:sz w:val="44"/>
          <w:szCs w:val="44"/>
          <w:highlight w:val="none"/>
        </w:rPr>
      </w:pPr>
    </w:p>
    <w:p>
      <w:pPr>
        <w:adjustRightInd w:val="0"/>
        <w:snapToGrid w:val="0"/>
        <w:spacing w:line="640" w:lineRule="exact"/>
        <w:jc w:val="center"/>
        <w:rPr>
          <w:rFonts w:ascii="方正小标宋_GBK" w:eastAsia="方正小标宋_GBK"/>
          <w:b/>
          <w:spacing w:val="60"/>
          <w:sz w:val="44"/>
          <w:szCs w:val="44"/>
          <w:highlight w:val="none"/>
        </w:rPr>
      </w:pPr>
    </w:p>
    <w:p>
      <w:pPr>
        <w:adjustRightInd w:val="0"/>
        <w:snapToGrid w:val="0"/>
        <w:spacing w:line="640" w:lineRule="exact"/>
        <w:jc w:val="center"/>
        <w:rPr>
          <w:rFonts w:ascii="方正小标宋_GBK" w:eastAsia="方正小标宋_GBK"/>
          <w:b/>
          <w:spacing w:val="60"/>
          <w:sz w:val="44"/>
          <w:szCs w:val="44"/>
          <w:highlight w:val="none"/>
        </w:rPr>
      </w:pPr>
      <w:r>
        <w:rPr>
          <w:rFonts w:hint="eastAsia" w:ascii="方正小标宋简体" w:eastAsia="方正小标宋简体"/>
          <w:b/>
          <w:bCs/>
          <w:spacing w:val="20"/>
          <w:sz w:val="44"/>
          <w:szCs w:val="44"/>
          <w:highlight w:val="none"/>
        </w:rPr>
        <w:t>比选文件</w:t>
      </w:r>
    </w:p>
    <w:p>
      <w:pPr>
        <w:spacing w:before="312" w:beforeLines="100" w:after="312" w:afterLines="100" w:line="640" w:lineRule="exact"/>
        <w:jc w:val="center"/>
        <w:rPr>
          <w:rFonts w:ascii="方正小标宋_GBK" w:eastAsia="方正小标宋_GBK"/>
          <w:b/>
          <w:sz w:val="44"/>
          <w:szCs w:val="44"/>
          <w:highlight w:val="none"/>
        </w:rPr>
      </w:pPr>
    </w:p>
    <w:p>
      <w:pPr>
        <w:wordWrap w:val="0"/>
        <w:ind w:right="-153" w:rightChars="-73"/>
        <w:jc w:val="right"/>
        <w:rPr>
          <w:rFonts w:eastAsia="仿宋_GB2312"/>
          <w:color w:val="000000"/>
          <w:szCs w:val="28"/>
          <w:highlight w:val="none"/>
        </w:rPr>
      </w:pPr>
    </w:p>
    <w:p>
      <w:pPr>
        <w:spacing w:line="0" w:lineRule="atLeast"/>
        <w:rPr>
          <w:rFonts w:ascii="方正小标宋_GBK" w:eastAsia="方正小标宋_GBK"/>
          <w:b/>
          <w:sz w:val="28"/>
          <w:szCs w:val="44"/>
          <w:highlight w:val="none"/>
        </w:rPr>
      </w:pPr>
    </w:p>
    <w:p>
      <w:pPr>
        <w:spacing w:line="0" w:lineRule="atLeast"/>
        <w:jc w:val="center"/>
        <w:rPr>
          <w:rFonts w:ascii="方正小标宋_GBK" w:eastAsia="方正小标宋_GBK"/>
          <w:b/>
          <w:sz w:val="28"/>
          <w:szCs w:val="28"/>
          <w:highlight w:val="none"/>
        </w:rPr>
      </w:pPr>
      <w:r>
        <w:rPr>
          <w:rFonts w:hint="eastAsia" w:ascii="方正小标宋_GBK" w:eastAsia="方正小标宋_GBK"/>
          <w:b/>
          <w:sz w:val="28"/>
          <w:szCs w:val="28"/>
          <w:highlight w:val="none"/>
        </w:rPr>
        <w:t xml:space="preserve">二 〇 二 </w:t>
      </w:r>
      <w:r>
        <w:rPr>
          <w:rFonts w:hint="eastAsia" w:ascii="方正小标宋_GBK" w:eastAsia="方正小标宋_GBK"/>
          <w:b/>
          <w:sz w:val="28"/>
          <w:szCs w:val="28"/>
          <w:highlight w:val="none"/>
          <w:lang w:val="en-US" w:eastAsia="zh-CN"/>
        </w:rPr>
        <w:t>一</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lang w:val="en-US" w:eastAsia="zh-CN"/>
        </w:rPr>
        <w:t xml:space="preserve">  </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rPr>
        <w:t xml:space="preserve">年 </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lang w:val="en-US" w:eastAsia="zh-CN"/>
        </w:rPr>
        <w:t xml:space="preserve">七 </w:t>
      </w:r>
      <w:r>
        <w:rPr>
          <w:rFonts w:ascii="方正小标宋_GBK" w:eastAsia="方正小标宋_GBK"/>
          <w:b/>
          <w:sz w:val="28"/>
          <w:szCs w:val="28"/>
          <w:highlight w:val="none"/>
        </w:rPr>
        <w:t xml:space="preserve">  </w:t>
      </w:r>
      <w:r>
        <w:rPr>
          <w:rFonts w:hint="eastAsia" w:ascii="方正小标宋_GBK" w:eastAsia="方正小标宋_GBK"/>
          <w:b/>
          <w:sz w:val="28"/>
          <w:szCs w:val="28"/>
          <w:highlight w:val="none"/>
        </w:rPr>
        <w:t>月</w:t>
      </w:r>
    </w:p>
    <w:p>
      <w:pPr>
        <w:spacing w:before="312" w:beforeLines="100" w:line="360" w:lineRule="auto"/>
        <w:jc w:val="center"/>
        <w:rPr>
          <w:rFonts w:ascii="方正小标宋简体" w:hAnsi="方正小标宋简体" w:eastAsia="方正小标宋简体" w:cs="方正小标宋简体"/>
          <w:sz w:val="56"/>
          <w:szCs w:val="72"/>
          <w:highlight w:val="none"/>
          <w:lang w:val="zh-CN"/>
        </w:rPr>
      </w:pPr>
      <w:bookmarkStart w:id="0" w:name="_Toc448516841"/>
      <w:r>
        <w:rPr>
          <w:rFonts w:hint="eastAsia" w:ascii="方正小标宋简体" w:hAnsi="方正小标宋简体" w:eastAsia="方正小标宋简体" w:cs="方正小标宋简体"/>
          <w:sz w:val="56"/>
          <w:szCs w:val="72"/>
          <w:highlight w:val="none"/>
          <w:lang w:val="zh-CN"/>
        </w:rPr>
        <w:t>目</w:t>
      </w:r>
      <w:r>
        <w:rPr>
          <w:rFonts w:hint="eastAsia" w:ascii="方正小标宋简体" w:hAnsi="方正小标宋简体" w:eastAsia="方正小标宋简体" w:cs="方正小标宋简体"/>
          <w:sz w:val="56"/>
          <w:szCs w:val="72"/>
          <w:highlight w:val="none"/>
        </w:rPr>
        <w:t xml:space="preserve"> </w:t>
      </w:r>
      <w:r>
        <w:rPr>
          <w:rFonts w:hint="eastAsia" w:ascii="方正小标宋简体" w:hAnsi="方正小标宋简体" w:eastAsia="方正小标宋简体" w:cs="方正小标宋简体"/>
          <w:sz w:val="56"/>
          <w:szCs w:val="72"/>
          <w:highlight w:val="none"/>
          <w:lang w:val="zh-CN"/>
        </w:rPr>
        <w:t>录</w:t>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TOC \o "1-1"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sz w:val="32"/>
          <w:szCs w:val="32"/>
          <w:highlight w:val="none"/>
        </w:rPr>
        <w:t>一、比选公告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_Toc10431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二、比选应遵循的原则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三、中选准则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_Toc8812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四、比选程序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五、比选参选人须知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_Toc20786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六、比选办法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附件一：比选申请书格式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_Toc14876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附件二：法定代表人授权书格式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附件三：项目小组构成及成员基本情况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附件四：比选报价表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附件五：承诺书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附件六：保密承诺函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附件七：评审标准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_Toc17318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rPr>
        <w:t>附件八：公司简介、团队简介及项目策划方案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36</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附件九：优质服务保障措施</w:t>
      </w:r>
      <w:r>
        <w:rPr>
          <w:rFonts w:hint="eastAsia" w:ascii="仿宋_GB2312" w:hAnsi="仿宋_GB2312" w:eastAsia="仿宋_GB2312" w:cs="仿宋_GB2312"/>
          <w:bCs/>
          <w:kern w:val="0"/>
          <w:sz w:val="32"/>
          <w:szCs w:val="32"/>
          <w:highlight w:val="none"/>
        </w:rPr>
        <w:t>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p>
    <w:p>
      <w:pPr>
        <w:pStyle w:val="15"/>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：项目工作安排及时间进度表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p>
    <w:p>
      <w:pPr>
        <w:widowControl/>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br w:type="page"/>
      </w:r>
    </w:p>
    <w:p>
      <w:pPr>
        <w:pStyle w:val="5"/>
        <w:widowControl/>
        <w:spacing w:before="120" w:after="120" w:line="240" w:lineRule="auto"/>
        <w:ind w:firstLine="643" w:firstLineChars="200"/>
        <w:rPr>
          <w:rFonts w:ascii="黑体" w:hAnsi="黑体" w:cs="黑体"/>
          <w:szCs w:val="32"/>
          <w:highlight w:val="none"/>
        </w:rPr>
      </w:pPr>
      <w:bookmarkStart w:id="1" w:name="_Toc12340"/>
      <w:bookmarkStart w:id="2" w:name="_Toc42174550"/>
      <w:bookmarkStart w:id="3" w:name="_Toc9747"/>
      <w:bookmarkStart w:id="4" w:name="_Toc2661"/>
      <w:bookmarkStart w:id="5" w:name="_Toc10431"/>
      <w:r>
        <w:rPr>
          <w:rFonts w:hint="eastAsia" w:ascii="黑体" w:hAnsi="黑体" w:eastAsia="黑体" w:cs="黑体"/>
          <w:bCs/>
          <w:sz w:val="32"/>
          <w:szCs w:val="32"/>
          <w:highlight w:val="none"/>
        </w:rPr>
        <w:t>一、比选公告</w:t>
      </w:r>
      <w:bookmarkEnd w:id="1"/>
      <w:bookmarkEnd w:id="2"/>
      <w:bookmarkEnd w:id="3"/>
      <w:bookmarkEnd w:id="4"/>
      <w:bookmarkEnd w:id="5"/>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四川交投物流有限公司（以下简称：“比选人”、“交投物流公司”或“公司”）拟公开比选</w:t>
      </w:r>
      <w:r>
        <w:rPr>
          <w:rFonts w:hint="eastAsia" w:ascii="仿宋_GB2312" w:hAnsi="仿宋_GB2312" w:eastAsia="仿宋_GB2312" w:cs="仿宋_GB2312"/>
          <w:sz w:val="32"/>
          <w:szCs w:val="32"/>
          <w:highlight w:val="none"/>
          <w:lang w:val="en-US" w:eastAsia="zh-CN"/>
        </w:rPr>
        <w:t>某现代物流基地</w:t>
      </w:r>
      <w:r>
        <w:rPr>
          <w:rFonts w:hint="eastAsia" w:ascii="仿宋_GB2312" w:hAnsi="仿宋_GB2312" w:eastAsia="仿宋_GB2312" w:cs="仿宋_GB2312"/>
          <w:sz w:val="32"/>
          <w:szCs w:val="32"/>
          <w:highlight w:val="none"/>
        </w:rPr>
        <w:t>项目策划方案咨询</w:t>
      </w:r>
      <w:r>
        <w:rPr>
          <w:rFonts w:hint="eastAsia" w:ascii="仿宋_GB2312" w:hAnsi="仿宋_GB2312" w:eastAsia="仿宋_GB2312" w:cs="仿宋_GB2312"/>
          <w:sz w:val="32"/>
          <w:szCs w:val="32"/>
          <w:highlight w:val="none"/>
          <w:lang w:val="en-US" w:eastAsia="zh-CN"/>
        </w:rPr>
        <w:t>服务</w:t>
      </w:r>
      <w:r>
        <w:rPr>
          <w:rFonts w:hint="eastAsia" w:ascii="仿宋_GB2312" w:hAnsi="仿宋_GB2312" w:eastAsia="仿宋_GB2312" w:cs="仿宋_GB2312"/>
          <w:sz w:val="32"/>
          <w:szCs w:val="32"/>
          <w:highlight w:val="none"/>
        </w:rPr>
        <w:t>机构。根据四川省国资委相关规定以及集团中介机构聘用管理有关规定，现将公开比选</w:t>
      </w:r>
      <w:r>
        <w:rPr>
          <w:rFonts w:hint="eastAsia" w:ascii="仿宋_GB2312" w:hAnsi="仿宋_GB2312" w:eastAsia="仿宋_GB2312" w:cs="仿宋_GB2312"/>
          <w:sz w:val="32"/>
          <w:szCs w:val="32"/>
          <w:highlight w:val="none"/>
          <w:lang w:val="en-US" w:eastAsia="zh-CN"/>
        </w:rPr>
        <w:t>咨询服务</w:t>
      </w:r>
      <w:r>
        <w:rPr>
          <w:rFonts w:hint="eastAsia" w:ascii="仿宋_GB2312" w:hAnsi="仿宋_GB2312" w:eastAsia="仿宋_GB2312" w:cs="仿宋_GB2312"/>
          <w:sz w:val="32"/>
          <w:szCs w:val="32"/>
          <w:highlight w:val="none"/>
        </w:rPr>
        <w:t>机构有关事项公告如下：</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（一）项目概况</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比选人：</w:t>
      </w:r>
      <w:r>
        <w:rPr>
          <w:rFonts w:hint="eastAsia" w:ascii="仿宋_GB2312" w:hAnsi="仿宋_GB2312" w:eastAsia="仿宋_GB2312" w:cs="仿宋_GB2312"/>
          <w:sz w:val="32"/>
          <w:szCs w:val="32"/>
          <w:highlight w:val="none"/>
          <w:lang w:val="en-US" w:eastAsia="zh-CN"/>
        </w:rPr>
        <w:t>四川交投物流</w:t>
      </w:r>
      <w:r>
        <w:rPr>
          <w:rFonts w:hint="eastAsia" w:ascii="仿宋_GB2312" w:hAnsi="仿宋_GB2312" w:eastAsia="仿宋_GB2312" w:cs="仿宋_GB2312"/>
          <w:sz w:val="32"/>
          <w:szCs w:val="32"/>
          <w:highlight w:val="none"/>
        </w:rPr>
        <w:t>有限公司</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highlight w:val="none"/>
          <w:lang w:val="en-US" w:eastAsia="zh-CN"/>
        </w:rPr>
        <w:t>某现代物流基地</w:t>
      </w:r>
      <w:r>
        <w:rPr>
          <w:rFonts w:hint="eastAsia" w:ascii="仿宋_GB2312" w:hAnsi="仿宋_GB2312" w:eastAsia="仿宋_GB2312" w:cs="仿宋_GB2312"/>
          <w:sz w:val="32"/>
          <w:szCs w:val="32"/>
          <w:highlight w:val="none"/>
        </w:rPr>
        <w:t>项目策划方案咨询</w:t>
      </w:r>
      <w:r>
        <w:rPr>
          <w:rFonts w:hint="eastAsia" w:ascii="仿宋_GB2312" w:hAnsi="仿宋_GB2312" w:eastAsia="仿宋_GB2312" w:cs="仿宋_GB2312"/>
          <w:sz w:val="32"/>
          <w:szCs w:val="32"/>
          <w:highlight w:val="none"/>
          <w:lang w:val="en-US" w:eastAsia="zh-CN"/>
        </w:rPr>
        <w:t>服务</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项目情况简介：</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项目位于</w:t>
      </w:r>
      <w:r>
        <w:rPr>
          <w:rFonts w:hint="eastAsia" w:ascii="仿宋_GB2312" w:hAnsi="仿宋_GB2312" w:eastAsia="仿宋_GB2312" w:cs="仿宋_GB2312"/>
          <w:sz w:val="32"/>
          <w:szCs w:val="32"/>
          <w:highlight w:val="none"/>
          <w:lang w:val="en-US" w:eastAsia="zh-CN"/>
        </w:rPr>
        <w:t>川渝高竹新区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预计</w:t>
      </w:r>
      <w:r>
        <w:rPr>
          <w:rFonts w:hint="eastAsia" w:ascii="仿宋_GB2312" w:hAnsi="仿宋_GB2312" w:eastAsia="仿宋_GB2312" w:cs="仿宋_GB2312"/>
          <w:sz w:val="32"/>
          <w:szCs w:val="32"/>
          <w:highlight w:val="none"/>
        </w:rPr>
        <w:t>占地面积约</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val="en-US" w:eastAsia="zh-CN"/>
        </w:rPr>
        <w:t>-1200</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以实际为准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拟打造商贸流通、现代物流、供应链、新型物流科技融合发展的综合性现代物流基地</w:t>
      </w:r>
      <w:r>
        <w:rPr>
          <w:rFonts w:hint="eastAsia" w:ascii="仿宋_GB2312" w:hAnsi="仿宋_GB2312" w:eastAsia="仿宋_GB2312" w:cs="仿宋_GB2312"/>
          <w:sz w:val="32"/>
          <w:szCs w:val="32"/>
          <w:highlight w:val="none"/>
        </w:rPr>
        <w:t>。</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服务内容：在充分、准确的区域经济、产业分析和市场调研等的基础上，结合上位规划及政策、项目开发条件、开发企业业务及资源禀赋等，</w:t>
      </w:r>
      <w:r>
        <w:rPr>
          <w:rFonts w:hint="eastAsia" w:ascii="仿宋_GB2312" w:hAnsi="仿宋_GB2312" w:eastAsia="仿宋_GB2312" w:cs="仿宋_GB2312"/>
          <w:sz w:val="32"/>
          <w:szCs w:val="32"/>
          <w:highlight w:val="none"/>
          <w:lang w:val="en-US" w:eastAsia="zh-CN"/>
        </w:rPr>
        <w:t>为比选人</w:t>
      </w:r>
      <w:r>
        <w:rPr>
          <w:rFonts w:hint="eastAsia" w:ascii="仿宋_GB2312" w:hAnsi="仿宋_GB2312" w:eastAsia="仿宋_GB2312" w:cs="仿宋_GB2312"/>
          <w:sz w:val="32"/>
          <w:szCs w:val="32"/>
          <w:highlight w:val="none"/>
        </w:rPr>
        <w:t>提出项目开发策划方案。包括但不限于：</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区域产业经济分析、上位规划及政策解读、物流及供应链分析、类似项目标杆案例分析、企业自身资源分析、项目市场及客户分析、项目定位及功能业态规划（需包含合理的推导逻辑、数据支撑等）、建设规划，发展规划、效益分析、发展建议等。</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（2）配合比选人向政府、内外部评审汇报。</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（二）比选申请人的报名资格要求</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1.具有独立法人资格，持有合法有效营业执照,以及国家法律法规要求的相关从业资质。</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2.专业从事物流、供应链等产业地产研究的咨询服务机构，具备类似项目服务经验，为政府、大型</w:t>
      </w:r>
      <w:r>
        <w:rPr>
          <w:rFonts w:hint="eastAsia" w:ascii="仿宋_GB2312" w:hAnsi="仿宋_GB2312" w:eastAsia="仿宋_GB2312" w:cs="仿宋_GB2312"/>
          <w:sz w:val="32"/>
          <w:szCs w:val="32"/>
          <w:highlight w:val="none"/>
        </w:rPr>
        <w:t>国有企业、世界500强企业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上市公司、物流类企业等提供过园区开发、物流及供应链设施等策划、规划咨询工作业绩，案例不少于5个。</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3.具有良好的商业信誉，近2年效益报表无亏损，成立至今在比选活动、合同履行、现场服务过程中，未受到省国资委处罚及通报批评。</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4.不得存在下列情形之一：比选日前三年内存在骗取成交或严重违规、违约问题；比选日前两年内存在违反国家有关法律法规的行为；比选申请人处于被责令停业、财产被冻结、接管、破产状态。</w:t>
      </w:r>
    </w:p>
    <w:p>
      <w:pPr>
        <w:pStyle w:val="20"/>
        <w:widowControl/>
        <w:spacing w:beforeAutospacing="0" w:afterAutospacing="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5.本项目不接受联合体投标，不允许转包、分包。</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（三）本项目采用综合评分法，资格后审</w:t>
      </w:r>
    </w:p>
    <w:p>
      <w:pPr>
        <w:pStyle w:val="20"/>
        <w:widowControl/>
        <w:numPr>
          <w:ilvl w:val="255"/>
          <w:numId w:val="0"/>
        </w:numPr>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符合比选资格的将被比选人拒绝，比选人对报名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（四）比选文件递交时间及地点</w:t>
      </w:r>
    </w:p>
    <w:p>
      <w:pPr>
        <w:pStyle w:val="20"/>
        <w:widowControl/>
        <w:spacing w:beforeAutospacing="0" w:afterAutospacing="0" w:line="560" w:lineRule="exact"/>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凡有意参加比选者，请于202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日上午</w:t>
      </w:r>
      <w:r>
        <w:rPr>
          <w:rFonts w:hint="eastAsia" w:ascii="仿宋_GB2312" w:hAnsi="仿宋_GB2312" w:eastAsia="仿宋_GB2312" w:cs="仿宋_GB2312"/>
          <w:sz w:val="32"/>
          <w:szCs w:val="32"/>
          <w:highlight w:val="none"/>
          <w:lang w:val="en-US" w:eastAsia="zh-CN"/>
        </w:rPr>
        <w:t>9:00</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时（北京时间，下同）</w:t>
      </w:r>
      <w:r>
        <w:rPr>
          <w:rFonts w:hint="eastAsia" w:ascii="仿宋_GB2312" w:hAnsi="仿宋_GB2312" w:eastAsia="仿宋_GB2312" w:cs="仿宋_GB2312"/>
          <w:sz w:val="32"/>
          <w:szCs w:val="32"/>
          <w:highlight w:val="none"/>
          <w:lang w:val="en-US" w:eastAsia="zh-CN"/>
        </w:rPr>
        <w:t>将比选申请文件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文件</w:t>
      </w:r>
      <w:r>
        <w:rPr>
          <w:rFonts w:hint="eastAsia" w:ascii="仿宋_GB2312" w:hAnsi="仿宋_GB2312" w:eastAsia="仿宋_GB2312" w:cs="仿宋_GB2312"/>
          <w:kern w:val="0"/>
          <w:sz w:val="32"/>
          <w:szCs w:val="32"/>
          <w:highlight w:val="none"/>
        </w:rPr>
        <w:t>包封见比选</w:t>
      </w:r>
      <w:r>
        <w:rPr>
          <w:rFonts w:hint="eastAsia" w:ascii="仿宋_GB2312" w:hAnsi="仿宋_GB2312" w:eastAsia="仿宋_GB2312" w:cs="仿宋_GB2312"/>
          <w:kern w:val="0"/>
          <w:sz w:val="32"/>
          <w:szCs w:val="32"/>
          <w:highlight w:val="none"/>
          <w:lang w:val="en-US" w:eastAsia="zh-CN"/>
        </w:rPr>
        <w:t>参选</w:t>
      </w:r>
      <w:r>
        <w:rPr>
          <w:rFonts w:hint="eastAsia" w:ascii="仿宋_GB2312" w:hAnsi="仿宋_GB2312" w:eastAsia="仿宋_GB2312" w:cs="仿宋_GB2312"/>
          <w:kern w:val="0"/>
          <w:sz w:val="32"/>
          <w:szCs w:val="32"/>
          <w:highlight w:val="none"/>
        </w:rPr>
        <w:t>人须知规定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rPr>
        <w:t>文件内容及格式详见附件，不限制附上比选申请人认为必要的其他支撑性资料）</w:t>
      </w:r>
      <w:r>
        <w:rPr>
          <w:rFonts w:hint="eastAsia" w:ascii="仿宋_GB2312" w:hAnsi="仿宋_GB2312" w:eastAsia="仿宋_GB2312" w:cs="仿宋_GB2312"/>
          <w:sz w:val="32"/>
          <w:szCs w:val="32"/>
          <w:highlight w:val="none"/>
          <w:lang w:val="en-US" w:eastAsia="zh-CN"/>
        </w:rPr>
        <w:t>以现场提交方式送达四川交投物流有限公司（</w:t>
      </w:r>
      <w:r>
        <w:rPr>
          <w:rFonts w:hint="eastAsia" w:ascii="仿宋_GB2312" w:hAnsi="仿宋_GB2312" w:eastAsia="仿宋_GB2312" w:cs="仿宋_GB2312"/>
          <w:sz w:val="32"/>
          <w:szCs w:val="32"/>
          <w:highlight w:val="none"/>
        </w:rPr>
        <w:t>成都市锦江区三色路163号银海芯座B栋22层</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比选申请文件送交截止时间为2021年7月23日上午10:00时，</w:t>
      </w:r>
      <w:r>
        <w:rPr>
          <w:rFonts w:hint="eastAsia" w:ascii="仿宋_GB2312" w:hAnsi="仿宋_GB2312" w:eastAsia="仿宋_GB2312" w:cs="仿宋_GB2312"/>
          <w:kern w:val="0"/>
          <w:sz w:val="32"/>
          <w:szCs w:val="32"/>
          <w:highlight w:val="none"/>
        </w:rPr>
        <w:t>比选人定于比选申请文件送交截止时间的同一时间、同一地址举行公开启封，比选申请人应派代表出席并签认启封结果，否则视为默认启封结果。</w:t>
      </w:r>
    </w:p>
    <w:p>
      <w:pPr>
        <w:spacing w:line="560" w:lineRule="exact"/>
        <w:ind w:firstLine="640" w:firstLineChars="200"/>
        <w:rPr>
          <w:rFonts w:hint="eastAsia" w:ascii="仿宋_GB2312" w:hAnsi="仿宋_GB2312" w:eastAsia="仿宋_GB2312" w:cs="仿宋_GB2312"/>
          <w:kern w:val="0"/>
          <w:sz w:val="32"/>
          <w:szCs w:val="32"/>
          <w:highlight w:val="none"/>
        </w:rPr>
      </w:pPr>
      <w:bookmarkStart w:id="6" w:name="_Toc509481744"/>
      <w:bookmarkStart w:id="7" w:name="_Toc496657989"/>
      <w:bookmarkStart w:id="8" w:name="_Toc508711576"/>
      <w:bookmarkStart w:id="9" w:name="_Toc509847595"/>
      <w:bookmarkStart w:id="10" w:name="_Toc522780794"/>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未按比选</w:t>
      </w:r>
      <w:r>
        <w:rPr>
          <w:rFonts w:hint="eastAsia" w:ascii="仿宋_GB2312" w:hAnsi="仿宋_GB2312" w:eastAsia="仿宋_GB2312" w:cs="仿宋_GB2312"/>
          <w:kern w:val="0"/>
          <w:sz w:val="32"/>
          <w:szCs w:val="32"/>
          <w:highlight w:val="none"/>
          <w:lang w:val="en-US" w:eastAsia="zh-CN"/>
        </w:rPr>
        <w:t>参选人</w:t>
      </w:r>
      <w:r>
        <w:rPr>
          <w:rFonts w:hint="eastAsia" w:ascii="仿宋_GB2312" w:hAnsi="仿宋_GB2312" w:eastAsia="仿宋_GB2312" w:cs="仿宋_GB2312"/>
          <w:kern w:val="0"/>
          <w:sz w:val="32"/>
          <w:szCs w:val="32"/>
          <w:highlight w:val="none"/>
        </w:rPr>
        <w:t>须知规定进行包封的比选申请文件，比选人将予以拒收。</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逾期送达的、未送达指定地点的比选申请文件，比选人将予以拒收。</w:t>
      </w:r>
      <w:bookmarkEnd w:id="6"/>
      <w:bookmarkEnd w:id="7"/>
      <w:bookmarkEnd w:id="8"/>
      <w:bookmarkEnd w:id="9"/>
      <w:bookmarkEnd w:id="10"/>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val="en-US" w:eastAsia="zh-CN"/>
        </w:rPr>
        <w:t>评审方法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本项目的评审小组由比选人根据本次比选特点按照相关规定组建。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评审小组成员名单，在中选结果确定前是保密的，评审在有关部门监督和保密的状态下进行。</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评审小组成员应当客观公正履行职务，遵守职业道德，对所提出的评审意见承担个人责任。评审小组成员不得私下接触比选申请人，不得接受比选申请人的财物或其他好处。</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评审程序：符合性审查--资格审查--详细评审--推荐中标候选人。</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在评审过程中，凡未通过上一评审的比选申请文件，不再进入后续评审程序。</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评审期间，评审小组成员根据需要对某些比选文件涉及事项进行质询，比选申请人法人代表或其委托人必须保持通讯工具畅通。</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评分原则和方法：</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eastAsia="仿宋_GB2312" w:cs="Calibri"/>
          <w:sz w:val="32"/>
          <w:szCs w:val="32"/>
          <w:highlight w:val="none"/>
          <w:lang w:eastAsia="zh-CN"/>
        </w:rPr>
        <w:t>（</w:t>
      </w:r>
      <w:r>
        <w:rPr>
          <w:rFonts w:hint="eastAsia" w:eastAsia="仿宋_GB2312" w:cs="Calibri"/>
          <w:sz w:val="32"/>
          <w:szCs w:val="32"/>
          <w:highlight w:val="none"/>
          <w:lang w:val="en-US" w:eastAsia="zh-CN"/>
        </w:rPr>
        <w:t>1</w:t>
      </w:r>
      <w:r>
        <w:rPr>
          <w:rFonts w:hint="eastAsia" w:eastAsia="仿宋_GB2312" w:cs="Calibri"/>
          <w:sz w:val="32"/>
          <w:szCs w:val="32"/>
          <w:highlight w:val="none"/>
          <w:lang w:eastAsia="zh-CN"/>
        </w:rPr>
        <w:t>）</w:t>
      </w:r>
      <w:r>
        <w:rPr>
          <w:rFonts w:hint="eastAsia" w:ascii="仿宋_GB2312" w:hAnsi="仿宋_GB2312" w:eastAsia="仿宋_GB2312" w:cs="仿宋_GB2312"/>
          <w:sz w:val="32"/>
          <w:szCs w:val="32"/>
          <w:highlight w:val="none"/>
        </w:rPr>
        <w:t>严格依法评分，坚持公平、公正的原则。</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eastAsia="仿宋_GB2312" w:cs="Calibri"/>
          <w:sz w:val="32"/>
          <w:szCs w:val="32"/>
          <w:highlight w:val="none"/>
          <w:lang w:eastAsia="zh-CN"/>
        </w:rPr>
        <w:t>（</w:t>
      </w:r>
      <w:r>
        <w:rPr>
          <w:rFonts w:hint="eastAsia" w:eastAsia="仿宋_GB2312" w:cs="Calibri"/>
          <w:sz w:val="32"/>
          <w:szCs w:val="32"/>
          <w:highlight w:val="none"/>
          <w:lang w:val="en-US" w:eastAsia="zh-CN"/>
        </w:rPr>
        <w:t>2</w:t>
      </w:r>
      <w:r>
        <w:rPr>
          <w:rFonts w:hint="eastAsia" w:eastAsia="仿宋_GB2312" w:cs="Calibri"/>
          <w:sz w:val="32"/>
          <w:szCs w:val="32"/>
          <w:highlight w:val="none"/>
          <w:lang w:eastAsia="zh-CN"/>
        </w:rPr>
        <w:t>）</w:t>
      </w:r>
      <w:r>
        <w:rPr>
          <w:rFonts w:hint="eastAsia" w:ascii="仿宋_GB2312" w:hAnsi="仿宋_GB2312" w:eastAsia="仿宋_GB2312" w:cs="仿宋_GB2312"/>
          <w:sz w:val="32"/>
          <w:szCs w:val="32"/>
          <w:highlight w:val="none"/>
        </w:rPr>
        <w:t>严格按照比选文件的要求和条件进行。</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eastAsia="仿宋_GB2312" w:cs="Calibri"/>
          <w:sz w:val="32"/>
          <w:szCs w:val="32"/>
          <w:highlight w:val="none"/>
          <w:lang w:eastAsia="zh-CN"/>
        </w:rPr>
        <w:t>（</w:t>
      </w:r>
      <w:r>
        <w:rPr>
          <w:rFonts w:hint="eastAsia" w:eastAsia="仿宋_GB2312" w:cs="Calibri"/>
          <w:sz w:val="32"/>
          <w:szCs w:val="32"/>
          <w:highlight w:val="none"/>
          <w:lang w:val="en-US" w:eastAsia="zh-CN"/>
        </w:rPr>
        <w:t>3</w:t>
      </w:r>
      <w:r>
        <w:rPr>
          <w:rFonts w:hint="eastAsia" w:eastAsia="仿宋_GB2312" w:cs="Calibri"/>
          <w:sz w:val="32"/>
          <w:szCs w:val="32"/>
          <w:highlight w:val="none"/>
          <w:lang w:eastAsia="zh-CN"/>
        </w:rPr>
        <w:t>）</w:t>
      </w:r>
      <w:r>
        <w:rPr>
          <w:rFonts w:hint="eastAsia" w:ascii="仿宋_GB2312" w:hAnsi="仿宋_GB2312" w:eastAsia="仿宋_GB2312" w:cs="仿宋_GB2312"/>
          <w:sz w:val="32"/>
          <w:szCs w:val="32"/>
          <w:highlight w:val="none"/>
        </w:rPr>
        <w:t>本次评分采用综合评分法。比选人不保证价格最低标能够中选，无义务承担对未中选人的任何责任。</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eastAsia="仿宋_GB2312" w:cs="Calibri"/>
          <w:sz w:val="32"/>
          <w:szCs w:val="32"/>
          <w:highlight w:val="none"/>
          <w:lang w:eastAsia="zh-CN"/>
        </w:rPr>
        <w:t>（</w:t>
      </w:r>
      <w:r>
        <w:rPr>
          <w:rFonts w:hint="eastAsia" w:eastAsia="仿宋_GB2312" w:cs="Calibri"/>
          <w:sz w:val="32"/>
          <w:szCs w:val="32"/>
          <w:highlight w:val="none"/>
          <w:lang w:val="en-US" w:eastAsia="zh-CN"/>
        </w:rPr>
        <w:t>4</w:t>
      </w:r>
      <w:r>
        <w:rPr>
          <w:rFonts w:hint="eastAsia" w:eastAsia="仿宋_GB2312" w:cs="Calibri"/>
          <w:sz w:val="32"/>
          <w:szCs w:val="32"/>
          <w:highlight w:val="none"/>
          <w:lang w:eastAsia="zh-CN"/>
        </w:rPr>
        <w:t>）</w:t>
      </w:r>
      <w:r>
        <w:rPr>
          <w:rFonts w:hint="eastAsia" w:ascii="仿宋_GB2312" w:hAnsi="仿宋_GB2312" w:eastAsia="仿宋_GB2312" w:cs="仿宋_GB2312"/>
          <w:sz w:val="32"/>
          <w:szCs w:val="32"/>
          <w:highlight w:val="none"/>
          <w:lang w:val="en-US" w:eastAsia="zh-CN"/>
        </w:rPr>
        <w:t>评审小</w:t>
      </w:r>
      <w:r>
        <w:rPr>
          <w:rFonts w:hint="eastAsia" w:ascii="仿宋_GB2312" w:hAnsi="仿宋_GB2312" w:eastAsia="仿宋_GB2312" w:cs="仿宋_GB2312"/>
          <w:sz w:val="32"/>
          <w:szCs w:val="32"/>
          <w:highlight w:val="none"/>
        </w:rPr>
        <w:t>组按照评分方法要求的评分标准进行综合评审打分，以综合评分得分由高到低推荐</w:t>
      </w:r>
      <w:r>
        <w:rPr>
          <w:rFonts w:hint="eastAsia" w:ascii="仿宋_GB2312" w:hAnsi="仿宋_GB2312" w:eastAsia="仿宋_GB2312" w:cs="仿宋_GB2312"/>
          <w:sz w:val="32"/>
          <w:szCs w:val="32"/>
          <w:highlight w:val="none"/>
          <w:lang w:eastAsia="zh-CN"/>
        </w:rPr>
        <w:t>三名</w:t>
      </w:r>
      <w:r>
        <w:rPr>
          <w:rFonts w:hint="eastAsia" w:ascii="仿宋_GB2312" w:hAnsi="仿宋_GB2312" w:eastAsia="仿宋_GB2312" w:cs="仿宋_GB2312"/>
          <w:sz w:val="32"/>
          <w:szCs w:val="32"/>
          <w:highlight w:val="none"/>
        </w:rPr>
        <w:t>中选候选人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若不足三名，则按相应数量推荐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（六）</w:t>
      </w:r>
      <w:r>
        <w:rPr>
          <w:rFonts w:hint="eastAsia" w:ascii="黑体" w:hAnsi="黑体" w:eastAsia="黑体" w:cs="黑体"/>
          <w:sz w:val="32"/>
          <w:szCs w:val="32"/>
          <w:highlight w:val="none"/>
          <w:lang w:val="en-US" w:eastAsia="zh-CN"/>
        </w:rPr>
        <w:t>中选公示及通知</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1.评分结束后，评</w:t>
      </w:r>
      <w:r>
        <w:rPr>
          <w:rFonts w:hint="eastAsia" w:ascii="仿宋_GB2312" w:hAnsi="仿宋_GB2312" w:eastAsia="仿宋_GB2312" w:cs="仿宋_GB2312"/>
          <w:sz w:val="32"/>
          <w:szCs w:val="32"/>
          <w:highlight w:val="none"/>
          <w:lang w:val="en-US" w:eastAsia="zh-CN"/>
        </w:rPr>
        <w:t>审</w:t>
      </w:r>
      <w:r>
        <w:rPr>
          <w:rFonts w:hint="eastAsia" w:ascii="仿宋_GB2312" w:hAnsi="仿宋_GB2312" w:eastAsia="仿宋_GB2312" w:cs="仿宋_GB2312"/>
          <w:sz w:val="32"/>
          <w:szCs w:val="32"/>
          <w:highlight w:val="none"/>
        </w:rPr>
        <w:t>小组按评分总得分高低排序并按评分由高到低推荐</w:t>
      </w:r>
      <w:r>
        <w:rPr>
          <w:rFonts w:hint="eastAsia" w:ascii="仿宋_GB2312" w:hAnsi="仿宋_GB2312" w:eastAsia="仿宋_GB2312" w:cs="仿宋_GB2312"/>
          <w:sz w:val="32"/>
          <w:szCs w:val="32"/>
          <w:highlight w:val="none"/>
          <w:lang w:eastAsia="zh-CN"/>
        </w:rPr>
        <w:t>三名</w:t>
      </w:r>
      <w:r>
        <w:rPr>
          <w:rFonts w:hint="eastAsia" w:ascii="仿宋_GB2312" w:hAnsi="仿宋_GB2312" w:eastAsia="仿宋_GB2312" w:cs="仿宋_GB2312"/>
          <w:sz w:val="32"/>
          <w:szCs w:val="32"/>
          <w:highlight w:val="none"/>
        </w:rPr>
        <w:t>中选候选人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若不足三名，则按相应数量推荐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2.比选人在评分后将评分结果在</w:t>
      </w:r>
      <w:r>
        <w:rPr>
          <w:rFonts w:hint="eastAsia" w:ascii="仿宋_GB2312" w:hAnsi="仿宋_GB2312" w:eastAsia="仿宋_GB2312" w:cs="仿宋_GB2312"/>
          <w:sz w:val="32"/>
          <w:szCs w:val="32"/>
          <w:highlight w:val="none"/>
          <w:lang w:val="en-US" w:eastAsia="zh-CN"/>
        </w:rPr>
        <w:t>蜀道</w:t>
      </w:r>
      <w:r>
        <w:rPr>
          <w:rFonts w:hint="eastAsia" w:ascii="仿宋_GB2312" w:hAnsi="仿宋_GB2312" w:eastAsia="仿宋_GB2312" w:cs="仿宋_GB2312"/>
          <w:sz w:val="32"/>
          <w:szCs w:val="32"/>
          <w:highlight w:val="none"/>
        </w:rPr>
        <w:t>投资集团有限责任公司、四川交投物流有限公司和交投智采网站上公示，公示后向中选人发出中选通知书。</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3.中选方须按“中选通知书”指定的时间、地点与比选人签订合同。</w:t>
      </w:r>
    </w:p>
    <w:p>
      <w:pPr>
        <w:pStyle w:val="20"/>
        <w:widowControl/>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4.如中选方违约，比选人可在比选申请人单位中按得分高低依次重新选定中选单位。</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（七）相关说明</w:t>
      </w:r>
    </w:p>
    <w:p>
      <w:pPr>
        <w:pStyle w:val="20"/>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1.比选人承诺，将坚持诚实守信的原则对待所有比选申请人，公开、公平、公正地进行评选工作；</w:t>
      </w:r>
    </w:p>
    <w:p>
      <w:pPr>
        <w:pStyle w:val="20"/>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2.公开比选期间，如果比选人发现中选人存在比选材料与比选公告要求不符、弄假作虚等情形，比选人有权取消中选资格或是单方面无条件解除合同，一切责任由比选申请人自行承担；</w:t>
      </w:r>
    </w:p>
    <w:p>
      <w:pPr>
        <w:pStyle w:val="20"/>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因本项目目前处于前期筹备阶段，存在一定的不确定性。</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sz w:val="32"/>
          <w:szCs w:val="32"/>
          <w:highlight w:val="none"/>
        </w:rPr>
        <w:t>发出中标通知书后，中标单位应按照</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sz w:val="32"/>
          <w:szCs w:val="32"/>
          <w:highlight w:val="none"/>
        </w:rPr>
        <w:t>书面通知的时间与</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sz w:val="32"/>
          <w:szCs w:val="32"/>
          <w:highlight w:val="none"/>
        </w:rPr>
        <w:t>签订正式合同。无论任何原因导致本项目终止的，</w:t>
      </w:r>
      <w:r>
        <w:rPr>
          <w:rFonts w:hint="eastAsia" w:ascii="仿宋_GB2312" w:hAnsi="仿宋_GB2312" w:eastAsia="仿宋_GB2312" w:cs="仿宋_GB2312"/>
          <w:sz w:val="32"/>
          <w:szCs w:val="32"/>
          <w:highlight w:val="none"/>
          <w:lang w:val="en-US" w:eastAsia="zh-CN"/>
        </w:rPr>
        <w:t>比选人</w:t>
      </w:r>
      <w:r>
        <w:rPr>
          <w:rFonts w:hint="eastAsia" w:ascii="仿宋_GB2312" w:hAnsi="仿宋_GB2312" w:eastAsia="仿宋_GB2312" w:cs="仿宋_GB2312"/>
          <w:sz w:val="32"/>
          <w:szCs w:val="32"/>
          <w:highlight w:val="none"/>
        </w:rPr>
        <w:t>有权不再组织中标单位签订正式合同，中标通知书自动作废，并由中标单位承担因本项目比选投标所产生的一切费用。</w:t>
      </w:r>
    </w:p>
    <w:p>
      <w:pPr>
        <w:pStyle w:val="20"/>
        <w:widowControl/>
        <w:spacing w:beforeAutospacing="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4.未尽事宜，以比选人最终通知为准。本项目比选文件的解释权归</w:t>
      </w:r>
      <w:r>
        <w:rPr>
          <w:rFonts w:hint="eastAsia" w:ascii="仿宋_GB2312" w:hAnsi="仿宋" w:eastAsia="仿宋_GB2312"/>
          <w:sz w:val="32"/>
          <w:szCs w:val="32"/>
          <w:highlight w:val="none"/>
          <w:lang w:val="en-US" w:eastAsia="zh-CN"/>
        </w:rPr>
        <w:t>四川交投物流</w:t>
      </w:r>
      <w:r>
        <w:rPr>
          <w:rFonts w:hint="eastAsia" w:ascii="仿宋_GB2312" w:hAnsi="仿宋_GB2312" w:eastAsia="仿宋_GB2312" w:cs="仿宋_GB2312"/>
          <w:sz w:val="32"/>
          <w:szCs w:val="32"/>
          <w:highlight w:val="none"/>
        </w:rPr>
        <w:t>有限公司。</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（八）发布公告的媒介</w:t>
      </w:r>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本次比选公告同时在</w:t>
      </w:r>
      <w:r>
        <w:rPr>
          <w:rFonts w:hint="eastAsia" w:ascii="仿宋_GB2312" w:hAnsi="仿宋_GB2312" w:eastAsia="仿宋_GB2312" w:cs="仿宋_GB2312"/>
          <w:sz w:val="32"/>
          <w:szCs w:val="32"/>
          <w:highlight w:val="none"/>
          <w:lang w:val="en-US" w:eastAsia="zh-CN"/>
        </w:rPr>
        <w:t>蜀道</w:t>
      </w:r>
      <w:r>
        <w:rPr>
          <w:rFonts w:hint="eastAsia" w:ascii="仿宋_GB2312" w:hAnsi="仿宋_GB2312" w:eastAsia="仿宋_GB2312" w:cs="仿宋_GB2312"/>
          <w:sz w:val="32"/>
          <w:szCs w:val="32"/>
          <w:highlight w:val="none"/>
        </w:rPr>
        <w:t>集团有限责任公司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四川交投物流有限公司官方网站及交投智采网站上发布。</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（九）联系方式</w:t>
      </w:r>
    </w:p>
    <w:bookmarkEnd w:id="0"/>
    <w:p>
      <w:pPr>
        <w:pStyle w:val="20"/>
        <w:widowControl/>
        <w:spacing w:before="0" w:beforeAutospacing="0" w:after="0" w:afterAutospacing="0" w:line="560" w:lineRule="exact"/>
        <w:ind w:firstLine="640" w:firstLineChars="200"/>
        <w:rPr>
          <w:rFonts w:ascii="仿宋_GB2312" w:hAnsi="仿宋_GB2312" w:eastAsia="仿宋_GB2312" w:cs="仿宋_GB2312"/>
          <w:sz w:val="32"/>
          <w:szCs w:val="32"/>
          <w:highlight w:val="none"/>
        </w:rPr>
      </w:pPr>
      <w:bookmarkStart w:id="11" w:name="_Toc1300675"/>
      <w:bookmarkStart w:id="12" w:name="_Toc42174551"/>
      <w:bookmarkStart w:id="13" w:name="_Toc9082"/>
      <w:bookmarkStart w:id="14" w:name="_Toc1300624"/>
      <w:r>
        <w:rPr>
          <w:rFonts w:hint="eastAsia" w:ascii="仿宋_GB2312" w:hAnsi="仿宋_GB2312" w:eastAsia="仿宋_GB2312" w:cs="仿宋_GB2312"/>
          <w:sz w:val="32"/>
          <w:szCs w:val="32"/>
          <w:highlight w:val="none"/>
        </w:rPr>
        <w:t>比选人：四川交投物流有限公司</w:t>
      </w:r>
    </w:p>
    <w:p>
      <w:pPr>
        <w:pStyle w:val="20"/>
        <w:widowControl/>
        <w:spacing w:before="0" w:beforeAutospacing="0" w:after="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联系人：陈女士</w:t>
      </w:r>
    </w:p>
    <w:p>
      <w:pPr>
        <w:pStyle w:val="20"/>
        <w:widowControl/>
        <w:spacing w:before="0" w:beforeAutospacing="0" w:after="0" w:afterAutospacing="0"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  话：028-87570947</w:t>
      </w:r>
    </w:p>
    <w:p>
      <w:pPr>
        <w:pStyle w:val="20"/>
        <w:widowControl/>
        <w:spacing w:before="0" w:beforeAutospacing="0" w:after="0" w:afterAutospacing="0" w:line="560" w:lineRule="exact"/>
        <w:ind w:firstLine="640" w:firstLineChars="200"/>
        <w:rPr>
          <w:rFonts w:ascii="黑体" w:hAnsi="黑体" w:eastAsia="黑体" w:cs="黑体"/>
          <w:sz w:val="32"/>
          <w:szCs w:val="32"/>
          <w:highlight w:val="none"/>
        </w:rPr>
      </w:pPr>
      <w:r>
        <w:rPr>
          <w:rFonts w:hint="eastAsia" w:ascii="仿宋_GB2312" w:hAnsi="仿宋_GB2312" w:eastAsia="仿宋_GB2312" w:cs="仿宋_GB2312"/>
          <w:sz w:val="32"/>
          <w:szCs w:val="32"/>
          <w:highlight w:val="none"/>
        </w:rPr>
        <w:t>地  址：成都市锦江区三色路163号银海芯座B栋22层</w:t>
      </w:r>
    </w:p>
    <w:p>
      <w:pPr>
        <w:pStyle w:val="5"/>
        <w:widowControl/>
        <w:spacing w:before="120" w:after="120" w:line="240" w:lineRule="auto"/>
        <w:ind w:firstLine="643" w:firstLineChars="200"/>
        <w:rPr>
          <w:rFonts w:hint="eastAsia" w:ascii="黑体" w:hAnsi="黑体" w:eastAsia="黑体" w:cs="黑体"/>
          <w:bCs/>
          <w:sz w:val="32"/>
          <w:szCs w:val="32"/>
          <w:highlight w:val="none"/>
        </w:rPr>
      </w:pPr>
      <w:bookmarkStart w:id="15" w:name="_Toc25796"/>
      <w:bookmarkStart w:id="16" w:name="_Toc8449"/>
      <w:bookmarkStart w:id="17" w:name="_Toc23158"/>
      <w:r>
        <w:rPr>
          <w:rFonts w:hint="eastAsia" w:ascii="黑体" w:hAnsi="黑体" w:eastAsia="黑体" w:cs="黑体"/>
          <w:bCs/>
          <w:sz w:val="32"/>
          <w:szCs w:val="32"/>
          <w:highlight w:val="none"/>
        </w:rPr>
        <w:t>二、比选应遵循的原则</w:t>
      </w:r>
      <w:bookmarkEnd w:id="11"/>
      <w:bookmarkEnd w:id="12"/>
      <w:bookmarkEnd w:id="13"/>
      <w:bookmarkEnd w:id="14"/>
      <w:bookmarkEnd w:id="15"/>
      <w:bookmarkEnd w:id="16"/>
      <w:bookmarkEnd w:id="17"/>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比选遵循公开、公平、公正、竞争和择优的原则。</w:t>
      </w:r>
    </w:p>
    <w:p>
      <w:pPr>
        <w:pStyle w:val="5"/>
        <w:widowControl/>
        <w:spacing w:before="120" w:after="120" w:line="240" w:lineRule="auto"/>
        <w:ind w:firstLine="643" w:firstLineChars="200"/>
        <w:rPr>
          <w:rFonts w:hint="eastAsia" w:ascii="黑体" w:hAnsi="黑体" w:eastAsia="黑体" w:cs="黑体"/>
          <w:bCs/>
          <w:sz w:val="32"/>
          <w:szCs w:val="32"/>
          <w:highlight w:val="none"/>
        </w:rPr>
      </w:pPr>
      <w:bookmarkStart w:id="18" w:name="_Toc448516842"/>
      <w:bookmarkStart w:id="19" w:name="_Toc11124"/>
      <w:bookmarkStart w:id="20" w:name="_Toc17886"/>
      <w:bookmarkStart w:id="21" w:name="_Toc42174552"/>
      <w:bookmarkStart w:id="22" w:name="_Toc9424"/>
      <w:bookmarkStart w:id="23" w:name="_Toc8812"/>
      <w:bookmarkStart w:id="24" w:name="_Toc1300676"/>
      <w:bookmarkStart w:id="25" w:name="_Toc1300625"/>
      <w:r>
        <w:rPr>
          <w:rFonts w:hint="eastAsia" w:ascii="黑体" w:hAnsi="黑体" w:eastAsia="黑体" w:cs="黑体"/>
          <w:bCs/>
          <w:sz w:val="32"/>
          <w:szCs w:val="32"/>
          <w:highlight w:val="none"/>
        </w:rPr>
        <w:t>三、中选准则</w:t>
      </w:r>
      <w:bookmarkEnd w:id="18"/>
      <w:bookmarkEnd w:id="19"/>
      <w:bookmarkEnd w:id="20"/>
      <w:bookmarkEnd w:id="21"/>
      <w:bookmarkEnd w:id="22"/>
      <w:bookmarkEnd w:id="23"/>
      <w:bookmarkEnd w:id="24"/>
      <w:bookmarkEnd w:id="25"/>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（一）中选将授予比选申请符合比选文件要求、能圆满履行合同、对</w:t>
      </w:r>
      <w:r>
        <w:rPr>
          <w:rFonts w:hint="eastAsia" w:ascii="仿宋_GB2312" w:hAnsi="仿宋_GB2312" w:eastAsia="仿宋_GB2312" w:cs="仿宋_GB2312"/>
          <w:sz w:val="32"/>
          <w:szCs w:val="32"/>
          <w:highlight w:val="none"/>
          <w:lang w:eastAsia="zh-CN"/>
        </w:rPr>
        <w:t>比选人</w:t>
      </w:r>
      <w:r>
        <w:rPr>
          <w:rFonts w:hint="eastAsia" w:ascii="仿宋_GB2312" w:hAnsi="仿宋_GB2312" w:eastAsia="仿宋_GB2312" w:cs="仿宋_GB2312"/>
          <w:sz w:val="32"/>
          <w:szCs w:val="32"/>
          <w:highlight w:val="none"/>
        </w:rPr>
        <w:t>最为有利的参选机构。</w:t>
      </w:r>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）最低比选报价不是中选和最终签订合同的唯一条件。</w:t>
      </w:r>
    </w:p>
    <w:p>
      <w:pPr>
        <w:pStyle w:val="5"/>
        <w:widowControl/>
        <w:spacing w:before="120" w:after="120" w:line="240" w:lineRule="auto"/>
        <w:ind w:firstLine="643" w:firstLineChars="200"/>
        <w:rPr>
          <w:rFonts w:hint="eastAsia" w:ascii="黑体" w:hAnsi="黑体" w:eastAsia="黑体" w:cs="黑体"/>
          <w:bCs/>
          <w:sz w:val="32"/>
          <w:szCs w:val="32"/>
          <w:highlight w:val="none"/>
        </w:rPr>
      </w:pPr>
      <w:bookmarkStart w:id="26" w:name="_Toc1300626"/>
      <w:bookmarkStart w:id="27" w:name="_Toc1300677"/>
      <w:bookmarkStart w:id="28" w:name="_Toc8424"/>
      <w:bookmarkStart w:id="29" w:name="_Toc23910"/>
      <w:bookmarkStart w:id="30" w:name="_Toc448516843"/>
      <w:bookmarkStart w:id="31" w:name="_Toc8612"/>
      <w:bookmarkStart w:id="32" w:name="_Toc42174553"/>
      <w:bookmarkStart w:id="33" w:name="_Toc23021"/>
      <w:r>
        <w:rPr>
          <w:rFonts w:hint="eastAsia" w:ascii="黑体" w:hAnsi="黑体" w:eastAsia="黑体" w:cs="黑体"/>
          <w:bCs/>
          <w:sz w:val="32"/>
          <w:szCs w:val="32"/>
          <w:highlight w:val="none"/>
        </w:rPr>
        <w:t>四、比选程序</w:t>
      </w:r>
      <w:bookmarkEnd w:id="26"/>
      <w:bookmarkEnd w:id="27"/>
      <w:bookmarkEnd w:id="28"/>
      <w:bookmarkEnd w:id="29"/>
      <w:bookmarkEnd w:id="30"/>
      <w:bookmarkEnd w:id="31"/>
      <w:bookmarkEnd w:id="32"/>
      <w:bookmarkEnd w:id="33"/>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比选程序主要包括：发布比选公告、接受咨询、制作比选申请文件、提交比选申请文件、组织评比、确定中选机构、发出中选通知。</w:t>
      </w:r>
    </w:p>
    <w:p>
      <w:pPr>
        <w:pStyle w:val="5"/>
        <w:widowControl/>
        <w:spacing w:before="120" w:after="120" w:line="240" w:lineRule="auto"/>
        <w:ind w:firstLine="643" w:firstLineChars="200"/>
        <w:rPr>
          <w:rFonts w:hint="eastAsia" w:ascii="黑体" w:hAnsi="黑体" w:eastAsia="黑体" w:cs="黑体"/>
          <w:bCs/>
          <w:sz w:val="32"/>
          <w:szCs w:val="32"/>
          <w:highlight w:val="none"/>
        </w:rPr>
      </w:pPr>
      <w:bookmarkStart w:id="34" w:name="_Toc1300678"/>
      <w:bookmarkStart w:id="35" w:name="_Toc448516844"/>
      <w:bookmarkStart w:id="36" w:name="_Toc1300627"/>
      <w:bookmarkStart w:id="37" w:name="_Toc19104"/>
      <w:bookmarkStart w:id="38" w:name="_Toc42174554"/>
      <w:bookmarkStart w:id="39" w:name="_Toc13551"/>
      <w:bookmarkStart w:id="40" w:name="_Toc20786"/>
      <w:bookmarkStart w:id="41" w:name="_Toc25751"/>
      <w:r>
        <w:rPr>
          <w:rFonts w:hint="eastAsia" w:ascii="黑体" w:hAnsi="黑体" w:eastAsia="黑体" w:cs="黑体"/>
          <w:bCs/>
          <w:sz w:val="32"/>
          <w:szCs w:val="32"/>
          <w:highlight w:val="none"/>
        </w:rPr>
        <w:t>五、比选参选人</w:t>
      </w:r>
      <w:bookmarkEnd w:id="34"/>
      <w:bookmarkEnd w:id="35"/>
      <w:bookmarkEnd w:id="36"/>
      <w:r>
        <w:rPr>
          <w:rFonts w:hint="eastAsia" w:ascii="黑体" w:hAnsi="黑体" w:eastAsia="黑体" w:cs="黑体"/>
          <w:bCs/>
          <w:sz w:val="32"/>
          <w:szCs w:val="32"/>
          <w:highlight w:val="none"/>
        </w:rPr>
        <w:t>须知</w:t>
      </w:r>
      <w:bookmarkEnd w:id="37"/>
      <w:bookmarkEnd w:id="38"/>
      <w:bookmarkEnd w:id="39"/>
      <w:bookmarkEnd w:id="40"/>
      <w:bookmarkEnd w:id="41"/>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（一）比选申请文件 </w:t>
      </w:r>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参选机构应提交比选申请文件。比选申请文件应按“正本”一套和“副本”五套分别用信封或文件盒(箱)密封，并清楚标明“正本”或“副本”字样后递交。如出现“正本”与“副本”不符之情况，以“正本”为准。</w:t>
      </w:r>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b/>
          <w:bCs/>
          <w:sz w:val="32"/>
          <w:szCs w:val="32"/>
          <w:highlight w:val="none"/>
        </w:rPr>
        <w:t>比选申请文件正本和副本封面还应分别标明比选申请文件名称、参选机构名称和法定代表人签名，并加盖参选机构公章。</w:t>
      </w:r>
      <w:r>
        <w:rPr>
          <w:rFonts w:hint="eastAsia" w:ascii="仿宋_GB2312" w:hAnsi="仿宋_GB2312" w:eastAsia="仿宋_GB2312" w:cs="仿宋_GB2312"/>
          <w:sz w:val="32"/>
          <w:szCs w:val="32"/>
          <w:highlight w:val="none"/>
        </w:rPr>
        <w:t>若是由授权代理人签名，则应在比选申请文件中附有授权委托书。每一密封的信封或文件盒(箱)应注明“于202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时之前不准启封”的字样，并加盖骑缝章。</w:t>
      </w:r>
    </w:p>
    <w:p>
      <w:pPr>
        <w:pStyle w:val="2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3.比选申请文件应采用中文写成，并统一用A4纸打印装订成册，分正本一套和副本五套分别密封，比选申请文件每套均应包括但不限于以下内容：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（1）比选申请书(样本见附件一)；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（2）法定代表人身份证复印件。如果有委托代理人的，应同时附法定代表人授权书(样本见附件二)、法定代表人身份证复印件、委托代理人身份证复印件；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w:t>
      </w:r>
      <w:r>
        <w:rPr>
          <w:rFonts w:hint="eastAsia" w:ascii="仿宋_GB2312" w:hAnsi="仿宋" w:eastAsia="仿宋_GB2312" w:cs="宋体"/>
          <w:bCs w:val="0"/>
          <w:sz w:val="32"/>
          <w:szCs w:val="32"/>
          <w:highlight w:val="none"/>
        </w:rPr>
        <w:t>项目小组构成及成员基本情况</w:t>
      </w:r>
      <w:r>
        <w:rPr>
          <w:rFonts w:hint="eastAsia" w:ascii="仿宋_GB2312" w:hAnsi="仿宋" w:eastAsia="仿宋_GB2312" w:cs="宋体"/>
          <w:bCs w:val="0"/>
          <w:sz w:val="32"/>
          <w:szCs w:val="32"/>
          <w:highlight w:val="none"/>
          <w:lang w:eastAsia="zh-CN"/>
        </w:rPr>
        <w:t>，</w:t>
      </w:r>
      <w:r>
        <w:rPr>
          <w:rFonts w:hint="eastAsia" w:ascii="仿宋_GB2312" w:hAnsi="仿宋" w:eastAsia="仿宋_GB2312" w:cs="宋体"/>
          <w:sz w:val="32"/>
          <w:szCs w:val="32"/>
          <w:highlight w:val="none"/>
          <w:lang w:val="en-US" w:eastAsia="zh-CN"/>
        </w:rPr>
        <w:t>包括</w:t>
      </w:r>
      <w:r>
        <w:rPr>
          <w:rFonts w:hint="eastAsia" w:ascii="仿宋_GB2312" w:hAnsi="仿宋" w:eastAsia="仿宋_GB2312" w:cs="宋体"/>
          <w:sz w:val="32"/>
          <w:szCs w:val="32"/>
          <w:highlight w:val="none"/>
        </w:rPr>
        <w:t>项目负责人及项目组成员简介及其</w:t>
      </w:r>
      <w:r>
        <w:rPr>
          <w:rFonts w:hint="eastAsia" w:ascii="仿宋_GB2312" w:hAnsi="仿宋" w:eastAsia="仿宋_GB2312"/>
          <w:sz w:val="32"/>
          <w:szCs w:val="32"/>
          <w:highlight w:val="none"/>
        </w:rPr>
        <w:t>相关资格证书的复印件(样本见附件三)；</w:t>
      </w:r>
      <w:r>
        <w:rPr>
          <w:rFonts w:ascii="仿宋_GB2312" w:hAnsi="仿宋" w:eastAsia="仿宋_GB2312"/>
          <w:sz w:val="32"/>
          <w:szCs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）比选报价表，本项目采用总价包干计价，报价包含开展策划咨询服务工作所产生的所有费用，请各参选机构根据现有资料并结合实际经验、自身情况实行自主报价。（样本见附件四）；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）营业执照副本和相关资质的影印件；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）承诺书（样本见附件五）与保密承诺函(样本见附件六)；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w:t>
      </w:r>
      <w:r>
        <w:rPr>
          <w:rFonts w:hint="eastAsia" w:ascii="仿宋_GB2312" w:hAnsi="黑体" w:eastAsia="仿宋_GB2312"/>
          <w:sz w:val="32"/>
          <w:highlight w:val="none"/>
          <w:lang w:val="en-US" w:eastAsia="zh-CN"/>
        </w:rPr>
        <w:t>为政府、大型国有企业、世界500强企业、上市公司、物流类企业提供园区开发、物流及供应链设施等策划、规划咨询工作业绩的</w:t>
      </w:r>
      <w:r>
        <w:rPr>
          <w:rFonts w:hint="eastAsia" w:ascii="仿宋_GB2312" w:hAnsi="仿宋" w:eastAsia="仿宋_GB2312"/>
          <w:sz w:val="32"/>
          <w:szCs w:val="32"/>
          <w:highlight w:val="none"/>
        </w:rPr>
        <w:t>证明材料；</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）公司简介、团队简介及项目策划方案（格式自拟）；</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）优质服务保障措施承诺书（样本见附件九）；</w:t>
      </w:r>
    </w:p>
    <w:p>
      <w:pPr>
        <w:ind w:firstLine="640" w:firstLineChars="200"/>
        <w:rPr>
          <w:rFonts w:hint="eastAsia"/>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rPr>
        <w:t>）项目工作安排及</w:t>
      </w:r>
      <w:r>
        <w:rPr>
          <w:rFonts w:ascii="仿宋_GB2312" w:hAnsi="仿宋" w:eastAsia="仿宋_GB2312"/>
          <w:sz w:val="32"/>
          <w:szCs w:val="32"/>
          <w:highlight w:val="none"/>
        </w:rPr>
        <w:t>时间进度表</w:t>
      </w:r>
      <w:r>
        <w:rPr>
          <w:rFonts w:hint="eastAsia" w:ascii="仿宋_GB2312" w:hAnsi="仿宋" w:eastAsia="仿宋_GB2312"/>
          <w:sz w:val="32"/>
          <w:szCs w:val="32"/>
          <w:highlight w:val="none"/>
        </w:rPr>
        <w:t>（格式自拟</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内容要求详见评分标准</w:t>
      </w:r>
      <w:r>
        <w:rPr>
          <w:rFonts w:hint="eastAsia" w:ascii="仿宋_GB2312" w:hAnsi="仿宋"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11</w:t>
      </w:r>
      <w:r>
        <w:rPr>
          <w:rFonts w:hint="eastAsia" w:ascii="仿宋_GB2312" w:hAnsi="仿宋" w:eastAsia="仿宋_GB2312"/>
          <w:sz w:val="32"/>
          <w:szCs w:val="32"/>
          <w:highlight w:val="none"/>
        </w:rPr>
        <w:t>）最近两年</w:t>
      </w:r>
      <w:r>
        <w:rPr>
          <w:rFonts w:hint="eastAsia" w:ascii="仿宋_GB2312" w:hAnsi="仿宋" w:eastAsia="仿宋_GB2312"/>
          <w:sz w:val="32"/>
          <w:szCs w:val="32"/>
          <w:highlight w:val="none"/>
          <w:lang w:val="en-US" w:eastAsia="zh-CN"/>
        </w:rPr>
        <w:t>财务</w:t>
      </w:r>
      <w:r>
        <w:rPr>
          <w:rFonts w:hint="eastAsia" w:ascii="仿宋_GB2312" w:hAnsi="仿宋" w:eastAsia="仿宋_GB2312"/>
          <w:sz w:val="32"/>
          <w:szCs w:val="32"/>
          <w:highlight w:val="none"/>
        </w:rPr>
        <w:t>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rPr>
        <w:t>注：以上材料均应加盖参选单位公章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4.参选机构未按本条第1、2点规定执行(如未进行正副本分装、密封和标记等)，以及逾期送达比选申请文件的，</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应视该比选申请文件未能对比选文件做出实质响应，该比选申请文件作废。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5.</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拒绝接受以电报、电话、传真、电子邮件形式递交比选申请文件，或在比选文件规定截止时间后递交的比选申请文件。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（二）比选报名及比选申请书递交</w:t>
      </w:r>
    </w:p>
    <w:p>
      <w:pPr>
        <w:spacing w:line="360" w:lineRule="auto"/>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1.递交时间</w:t>
      </w:r>
      <w:r>
        <w:rPr>
          <w:rFonts w:hint="eastAsia" w:ascii="仿宋_GB2312" w:hAnsi="仿宋_GB2312" w:eastAsia="仿宋_GB2312" w:cs="仿宋_GB2312"/>
          <w:sz w:val="32"/>
          <w:szCs w:val="32"/>
          <w:highlight w:val="none"/>
          <w:lang w:val="en-US" w:eastAsia="zh-CN"/>
        </w:rPr>
        <w:t>及地点</w:t>
      </w:r>
      <w:r>
        <w:rPr>
          <w:rFonts w:hint="eastAsia" w:ascii="仿宋_GB2312" w:hAnsi="仿宋_GB2312" w:eastAsia="仿宋_GB2312" w:cs="仿宋_GB2312"/>
          <w:sz w:val="32"/>
          <w:szCs w:val="32"/>
          <w:highlight w:val="none"/>
        </w:rPr>
        <w:t>：时间为202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日上</w:t>
      </w:r>
      <w:r>
        <w:rPr>
          <w:rFonts w:hint="eastAsia" w:ascii="仿宋_GB2312" w:hAnsi="仿宋_GB2312" w:eastAsia="仿宋_GB2312" w:cs="仿宋_GB2312"/>
          <w:sz w:val="32"/>
          <w:szCs w:val="32"/>
          <w:highlight w:val="none"/>
          <w:lang w:val="en-US" w:eastAsia="zh-CN"/>
        </w:rPr>
        <w:t>午9:00</w:t>
      </w:r>
      <w:r>
        <w:rPr>
          <w:rFonts w:hint="eastAsia" w:ascii="仿宋_GB2312" w:hAnsi="仿宋_GB2312" w:eastAsia="仿宋_GB2312" w:cs="仿宋_GB2312"/>
          <w:sz w:val="32"/>
          <w:szCs w:val="32"/>
          <w:highlight w:val="none"/>
        </w:rPr>
        <w:t>时至上午</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时，地点为</w:t>
      </w:r>
      <w:r>
        <w:rPr>
          <w:rFonts w:hint="eastAsia" w:ascii="仿宋_GB2312" w:hAnsi="仿宋" w:eastAsia="仿宋_GB2312"/>
          <w:sz w:val="32"/>
          <w:szCs w:val="32"/>
          <w:highlight w:val="none"/>
        </w:rPr>
        <w:t>成都市锦江区三色路银海芯座B栋22楼四川交投物流有限公司</w:t>
      </w:r>
      <w:r>
        <w:rPr>
          <w:rFonts w:hint="eastAsia" w:ascii="仿宋_GB2312" w:hAnsi="仿宋_GB2312" w:eastAsia="仿宋_GB2312" w:cs="仿宋_GB2312"/>
          <w:sz w:val="32"/>
          <w:szCs w:val="32"/>
          <w:highlight w:val="none"/>
        </w:rPr>
        <w:t>。</w:t>
      </w:r>
    </w:p>
    <w:p>
      <w:pPr>
        <w:spacing w:line="360" w:lineRule="auto"/>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2</w:t>
      </w:r>
      <w:r>
        <w:rPr>
          <w:rFonts w:ascii="仿宋_GB2312" w:hAnsi="仿宋" w:eastAsia="仿宋_GB2312"/>
          <w:sz w:val="32"/>
          <w:szCs w:val="32"/>
          <w:highlight w:val="none"/>
        </w:rPr>
        <w:t>.</w:t>
      </w:r>
      <w:r>
        <w:rPr>
          <w:rFonts w:hint="eastAsia" w:ascii="仿宋_GB2312" w:hAnsi="仿宋" w:eastAsia="仿宋_GB2312"/>
          <w:sz w:val="32"/>
          <w:szCs w:val="32"/>
          <w:highlight w:val="none"/>
        </w:rPr>
        <w:t>联系人：</w:t>
      </w:r>
      <w:r>
        <w:rPr>
          <w:rFonts w:hint="eastAsia" w:ascii="仿宋_GB2312" w:hAnsi="仿宋_GB2312" w:eastAsia="仿宋_GB2312" w:cs="仿宋_GB2312"/>
          <w:sz w:val="32"/>
          <w:szCs w:val="32"/>
          <w:highlight w:val="none"/>
          <w:lang w:val="en-US" w:eastAsia="zh-CN"/>
        </w:rPr>
        <w:t>陈女士</w:t>
      </w:r>
    </w:p>
    <w:p>
      <w:pPr>
        <w:spacing w:line="360" w:lineRule="auto"/>
        <w:ind w:firstLine="640" w:firstLineChars="200"/>
        <w:rPr>
          <w:rFonts w:ascii="仿宋_GB2312" w:hAnsi="仿宋" w:eastAsia="仿宋_GB2312"/>
          <w:sz w:val="32"/>
          <w:szCs w:val="32"/>
          <w:highlight w:val="none"/>
        </w:rPr>
      </w:pPr>
      <w:r>
        <w:rPr>
          <w:rFonts w:ascii="仿宋_GB2312" w:hAnsi="仿宋" w:eastAsia="仿宋_GB2312"/>
          <w:sz w:val="32"/>
          <w:szCs w:val="32"/>
          <w:highlight w:val="none"/>
        </w:rPr>
        <w:t>3</w:t>
      </w:r>
      <w:r>
        <w:rPr>
          <w:rFonts w:hint="eastAsia" w:ascii="仿宋_GB2312" w:hAnsi="仿宋" w:eastAsia="仿宋_GB2312"/>
          <w:sz w:val="32"/>
          <w:szCs w:val="32"/>
          <w:highlight w:val="none"/>
        </w:rPr>
        <w:t>.联系电话：</w:t>
      </w:r>
      <w:r>
        <w:rPr>
          <w:rFonts w:hint="eastAsia" w:ascii="仿宋_GB2312" w:hAnsi="仿宋_GB2312" w:eastAsia="仿宋_GB2312" w:cs="仿宋_GB2312"/>
          <w:sz w:val="32"/>
          <w:szCs w:val="32"/>
          <w:highlight w:val="none"/>
        </w:rPr>
        <w:t>028-87570947</w:t>
      </w:r>
      <w:r>
        <w:rPr>
          <w:rFonts w:ascii="仿宋_GB2312" w:hAnsi="仿宋" w:eastAsia="仿宋_GB2312"/>
          <w:sz w:val="32"/>
          <w:szCs w:val="32"/>
          <w:highlight w:val="none"/>
        </w:rPr>
        <w:t xml:space="preserve">   </w:t>
      </w:r>
    </w:p>
    <w:p>
      <w:pPr>
        <w:pStyle w:val="20"/>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（三）比选报价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1.参选机构应对比选报价进行严格的费用预算。本项目采用总价包干计价，所有参加本次比选的机构应充分计算和考虑其完成投标项目需要支付的差旅费</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评审汇报</w:t>
      </w:r>
      <w:r>
        <w:rPr>
          <w:rFonts w:hint="eastAsia" w:ascii="仿宋_GB2312" w:hAnsi="仿宋" w:eastAsia="仿宋_GB2312"/>
          <w:sz w:val="32"/>
          <w:szCs w:val="32"/>
          <w:highlight w:val="none"/>
        </w:rPr>
        <w:t>等各项费用并计入投标报价总价，</w:t>
      </w:r>
      <w:r>
        <w:rPr>
          <w:rFonts w:hint="eastAsia" w:ascii="仿宋_GB2312" w:hAnsi="仿宋" w:eastAsia="仿宋_GB2312"/>
          <w:sz w:val="32"/>
          <w:szCs w:val="32"/>
          <w:highlight w:val="none"/>
          <w:lang w:val="en-US" w:eastAsia="zh-CN"/>
        </w:rPr>
        <w:t>四川交投物流有限</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不负责承担参选机构因中标后开展项目应支付的差旅费及其他费用。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2.参选机构的比选报价应费用适中，不得以低于成本的报价进行恶性竞争，最低比选报价并非中选的唯一条件。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3.参选机构的比选报价应是固定价，而非浮动价，且报价总额不能高于</w:t>
      </w:r>
      <w:r>
        <w:rPr>
          <w:rFonts w:hint="eastAsia" w:ascii="仿宋_GB2312" w:hAnsi="仿宋" w:eastAsia="仿宋_GB2312"/>
          <w:sz w:val="32"/>
          <w:szCs w:val="32"/>
          <w:highlight w:val="none"/>
          <w:lang w:val="en-US" w:eastAsia="zh-CN"/>
        </w:rPr>
        <w:t>25</w:t>
      </w:r>
      <w:bookmarkStart w:id="151" w:name="_GoBack"/>
      <w:bookmarkEnd w:id="151"/>
      <w:r>
        <w:rPr>
          <w:rFonts w:hint="eastAsia" w:ascii="仿宋_GB2312" w:hAnsi="仿宋" w:eastAsia="仿宋_GB2312"/>
          <w:sz w:val="32"/>
          <w:szCs w:val="32"/>
          <w:highlight w:val="none"/>
        </w:rPr>
        <w:t>万元，</w:t>
      </w:r>
      <w:r>
        <w:rPr>
          <w:rFonts w:hint="eastAsia" w:ascii="仿宋_GB2312" w:hAnsi="仿宋_GB2312" w:eastAsia="仿宋_GB2312" w:cs="仿宋_GB2312"/>
          <w:kern w:val="0"/>
          <w:sz w:val="30"/>
          <w:szCs w:val="30"/>
          <w:highlight w:val="none"/>
        </w:rPr>
        <w:t>报价超过控制价即废标</w:t>
      </w:r>
      <w:r>
        <w:rPr>
          <w:rFonts w:hint="eastAsia" w:ascii="仿宋_GB2312" w:hAnsi="仿宋"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（四）参选项目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1.参选各单位按照比选文件规定，根据本机构实际资质条件，报名参加该项目的比选。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2.中选机构不得将中选项目转包或分包给其他单位或个人，一经发现将停止其工作，取消本次中选资格，并报行业行政主管部门处理，由其承担因此产生的一切法律责任。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3.参选机构一旦中选，应严格按照国家有关法律法规规定开展工作，在工作期间，不得更换项目组具体成员，且必须在约定的时间内，保证工作质量，完成工作。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4.中选单位需为业主提供如下服务：</w:t>
      </w:r>
    </w:p>
    <w:p>
      <w:pPr>
        <w:pStyle w:val="2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（1）为比选人的物流园区项目提供方案策划、</w:t>
      </w:r>
      <w:r>
        <w:rPr>
          <w:rFonts w:hint="eastAsia" w:ascii="仿宋_GB2312" w:hAnsi="仿宋" w:eastAsia="仿宋_GB2312" w:cs="Times New Roman"/>
          <w:sz w:val="32"/>
          <w:szCs w:val="32"/>
          <w:highlight w:val="none"/>
          <w:lang w:eastAsia="zh-CN"/>
        </w:rPr>
        <w:t>效益分析</w:t>
      </w:r>
      <w:r>
        <w:rPr>
          <w:rFonts w:hint="eastAsia" w:ascii="仿宋_GB2312" w:hAnsi="仿宋" w:eastAsia="仿宋_GB2312" w:cs="Times New Roman"/>
          <w:sz w:val="32"/>
          <w:szCs w:val="32"/>
          <w:highlight w:val="none"/>
        </w:rPr>
        <w:t>等咨询服务</w:t>
      </w:r>
      <w:r>
        <w:rPr>
          <w:rFonts w:hint="eastAsia" w:ascii="Times New Roman" w:hAnsi="Times New Roman" w:eastAsia="仿宋_GB2312"/>
          <w:kern w:val="0"/>
          <w:sz w:val="32"/>
          <w:szCs w:val="32"/>
          <w:highlight w:val="none"/>
        </w:rPr>
        <w:t>并出具专业的报告、图表等材料</w:t>
      </w:r>
      <w:r>
        <w:rPr>
          <w:rFonts w:hint="eastAsia" w:ascii="仿宋_GB2312" w:hAnsi="仿宋"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（2）安排专人响应业主业务需求；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（3）随时接受口头或电话咨询；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 w:eastAsia="仿宋_GB2312"/>
          <w:sz w:val="32"/>
          <w:szCs w:val="32"/>
          <w:highlight w:val="none"/>
        </w:rPr>
        <w:t>（4）参加</w:t>
      </w:r>
      <w:r>
        <w:rPr>
          <w:rFonts w:hint="eastAsia" w:ascii="仿宋_GB2312" w:hAnsi="仿宋" w:eastAsia="仿宋_GB2312"/>
          <w:sz w:val="32"/>
          <w:szCs w:val="32"/>
          <w:highlight w:val="none"/>
          <w:lang w:val="en-US" w:eastAsia="zh-CN"/>
        </w:rPr>
        <w:t>比选人</w:t>
      </w:r>
      <w:r>
        <w:rPr>
          <w:rFonts w:hint="eastAsia" w:ascii="仿宋_GB2312" w:hAnsi="仿宋" w:eastAsia="仿宋_GB2312"/>
          <w:sz w:val="32"/>
          <w:szCs w:val="32"/>
          <w:highlight w:val="none"/>
        </w:rPr>
        <w:t>相关业务会议；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rPr>
        <w:t>配合比选人及合作单位向政府、内外部评审汇报</w:t>
      </w:r>
      <w:r>
        <w:rPr>
          <w:rFonts w:hint="eastAsia" w:ascii="仿宋_GB2312" w:hAnsi="仿宋"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参选机构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w:t>
      </w:r>
      <w:r>
        <w:rPr>
          <w:rFonts w:hint="eastAsia" w:ascii="仿宋_GB2312" w:hAnsi="仿宋" w:eastAsia="仿宋_GB2312"/>
          <w:sz w:val="32"/>
          <w:szCs w:val="32"/>
          <w:highlight w:val="none"/>
          <w:lang w:val="en-US" w:eastAsia="zh-CN"/>
        </w:rPr>
        <w:t>评审后，评审</w:t>
      </w:r>
      <w:r>
        <w:rPr>
          <w:rFonts w:hint="eastAsia" w:ascii="仿宋_GB2312" w:hAnsi="仿宋" w:eastAsia="仿宋_GB2312"/>
          <w:sz w:val="32"/>
          <w:szCs w:val="32"/>
          <w:highlight w:val="none"/>
        </w:rPr>
        <w:t>结果</w:t>
      </w:r>
      <w:r>
        <w:rPr>
          <w:rFonts w:ascii="仿宋_GB2312" w:eastAsia="仿宋_GB2312"/>
          <w:sz w:val="32"/>
          <w:szCs w:val="32"/>
          <w:highlight w:val="none"/>
        </w:rPr>
        <w:t>在</w:t>
      </w:r>
      <w:r>
        <w:rPr>
          <w:rFonts w:hint="eastAsia" w:ascii="仿宋_GB2312" w:eastAsia="仿宋_GB2312"/>
          <w:sz w:val="32"/>
          <w:szCs w:val="32"/>
          <w:highlight w:val="none"/>
          <w:lang w:val="en-US" w:bidi="zh-CN"/>
        </w:rPr>
        <w:t>蜀道</w:t>
      </w:r>
      <w:r>
        <w:rPr>
          <w:rFonts w:hint="eastAsia" w:ascii="仿宋_GB2312" w:eastAsia="仿宋_GB2312"/>
          <w:sz w:val="32"/>
          <w:szCs w:val="32"/>
          <w:highlight w:val="none"/>
          <w:lang w:bidi="zh-CN"/>
        </w:rPr>
        <w:t>投资集团有限责任公司、</w:t>
      </w:r>
      <w:r>
        <w:rPr>
          <w:rFonts w:hint="eastAsia" w:ascii="仿宋_GB2312" w:eastAsia="仿宋_GB2312"/>
          <w:sz w:val="32"/>
          <w:szCs w:val="32"/>
          <w:highlight w:val="none"/>
          <w:lang w:val="en-US" w:bidi="zh-CN"/>
        </w:rPr>
        <w:t>四川交投物流有限公司官方网站及交投智采</w:t>
      </w:r>
      <w:r>
        <w:rPr>
          <w:rFonts w:hint="eastAsia" w:ascii="仿宋_GB2312" w:eastAsia="仿宋_GB2312"/>
          <w:sz w:val="32"/>
          <w:szCs w:val="32"/>
          <w:highlight w:val="none"/>
          <w:lang w:bidi="zh-CN"/>
        </w:rPr>
        <w:t>网站</w:t>
      </w:r>
      <w:r>
        <w:rPr>
          <w:rFonts w:hint="eastAsia" w:ascii="仿宋_GB2312" w:eastAsia="仿宋_GB2312"/>
          <w:sz w:val="32"/>
          <w:szCs w:val="32"/>
          <w:highlight w:val="none"/>
          <w:lang w:val="en-US" w:bidi="zh-CN"/>
        </w:rPr>
        <w:t>上公示3个工作日以接收社会公开监督</w:t>
      </w:r>
      <w:r>
        <w:rPr>
          <w:rFonts w:hint="eastAsia" w:ascii="仿宋_GB2312" w:hAnsi="仿宋" w:eastAsia="仿宋_GB2312"/>
          <w:sz w:val="32"/>
          <w:szCs w:val="32"/>
          <w:highlight w:val="none"/>
        </w:rPr>
        <w:t>，比选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不承担对未中选参选机构的解释责任。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3.参选机构在本次比选过程中如有欺诈、串通作弊、中途无故退出、中选后不承担比选工作任务，或提出其他未在参选文件中明确的条件等行为，比选投标文件将作废。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4.参选机构在比选过程中发生的一切费用，无论是否中选，均由其自行承担。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5.无论比选结果如何，参选机构向比选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递交的一切文件资料不予退还。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6.任何要求对比选文件澄清的参选机构，均应以书面形式(包括电报、电传、传真)通知比选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将视情况确定采用适当方式予以澄清或以书面形式予以答复，并在其认为必要时，将不标明查询来源的书面答复寄送给每个参选机构。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7.在比选文件规定比选申请文件递交截止日期前</w:t>
      </w:r>
      <w:r>
        <w:rPr>
          <w:rFonts w:ascii="仿宋_GB2312" w:hAnsi="仿宋" w:eastAsia="仿宋_GB2312"/>
          <w:sz w:val="32"/>
          <w:szCs w:val="32"/>
          <w:highlight w:val="none"/>
        </w:rPr>
        <w:t>2</w:t>
      </w:r>
      <w:r>
        <w:rPr>
          <w:rFonts w:hint="eastAsia" w:ascii="仿宋_GB2312" w:hAnsi="仿宋" w:eastAsia="仿宋_GB2312"/>
          <w:sz w:val="32"/>
          <w:szCs w:val="32"/>
          <w:highlight w:val="none"/>
        </w:rPr>
        <w:t>天，无论出于何种原因，</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可主动地或在解答参选机构要求澄清的问题时对比选文件进行修改。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8.比选文件的修改将以书面形式通知所有参选机构，参选机构在收到该通知后应立即以书面的形式予以确认，为使参选机构在准备比选申请文件时，有充分的时间进行研究和修改，比选组织可自行决定，酌情推迟比选申请文件递交截止日期，并以书面形式通知所有参选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9.比选文件的修改书将构成比选文件的一部分，对参与双方都具有约束力。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10.</w:t>
      </w:r>
      <w:r>
        <w:rPr>
          <w:rFonts w:hint="eastAsia" w:eastAsia="仿宋_GB2312"/>
          <w:kern w:val="0"/>
          <w:sz w:val="32"/>
          <w:szCs w:val="32"/>
          <w:highlight w:val="none"/>
        </w:rPr>
        <w:t xml:space="preserve"> 因本项目目前处于前期筹备阶段，存在一定的不确定性。比选人发出中标通知书后，中选人应按照比选人书面通知的时间与比选人签订正式合同。无论任何原因导致本项目终止的，比选人有权不再组织中选人签订正式合同，中标通知书自动作废，比选人不承担任何责任，并由中选人承担因本项目比选投标所产生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11.参选机构应认真阅读比选文件中所有的事项、格式条款和规范要求等。参选机构没有对比选文件全面做出实质性响应是参选机构的风险。比选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有权拒绝没有对比选文件要求做出实质性响应的比选申请文件。</w:t>
      </w:r>
    </w:p>
    <w:p>
      <w:pPr>
        <w:pStyle w:val="5"/>
        <w:widowControl/>
        <w:spacing w:before="120" w:after="120" w:line="240" w:lineRule="auto"/>
        <w:ind w:firstLine="643" w:firstLineChars="200"/>
        <w:rPr>
          <w:rFonts w:hint="eastAsia" w:ascii="黑体" w:hAnsi="黑体" w:eastAsia="黑体" w:cs="黑体"/>
          <w:bCs/>
          <w:sz w:val="32"/>
          <w:szCs w:val="32"/>
          <w:highlight w:val="none"/>
        </w:rPr>
      </w:pPr>
      <w:bookmarkStart w:id="42" w:name="_Toc17938"/>
      <w:bookmarkStart w:id="43" w:name="_Toc448516845"/>
      <w:bookmarkStart w:id="44" w:name="_Toc1300628"/>
      <w:bookmarkStart w:id="45" w:name="_Toc28215"/>
      <w:bookmarkStart w:id="46" w:name="_Toc23466"/>
      <w:bookmarkStart w:id="47" w:name="_Toc42174555"/>
      <w:bookmarkStart w:id="48" w:name="_Toc6070"/>
      <w:bookmarkStart w:id="49" w:name="_Toc1300679"/>
      <w:r>
        <w:rPr>
          <w:rFonts w:hint="eastAsia" w:ascii="黑体" w:hAnsi="黑体" w:eastAsia="黑体" w:cs="黑体"/>
          <w:bCs/>
          <w:sz w:val="32"/>
          <w:szCs w:val="32"/>
          <w:highlight w:val="none"/>
        </w:rPr>
        <w:t>六、比选办法</w:t>
      </w:r>
      <w:bookmarkEnd w:id="42"/>
      <w:bookmarkEnd w:id="43"/>
      <w:bookmarkEnd w:id="44"/>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kern w:val="0"/>
          <w:sz w:val="32"/>
          <w:szCs w:val="32"/>
          <w:highlight w:val="none"/>
        </w:rPr>
      </w:pPr>
      <w:r>
        <w:rPr>
          <w:rFonts w:hint="eastAsia" w:ascii="仿宋_GB2312" w:hAnsi="仿宋" w:eastAsia="仿宋_GB2312"/>
          <w:sz w:val="32"/>
          <w:szCs w:val="32"/>
          <w:highlight w:val="none"/>
        </w:rPr>
        <w:t>1.</w:t>
      </w:r>
      <w:bookmarkStart w:id="50" w:name="_Hlk15383115"/>
      <w:r>
        <w:rPr>
          <w:rFonts w:hint="eastAsia" w:eastAsia="仿宋_GB2312"/>
          <w:kern w:val="0"/>
          <w:sz w:val="32"/>
          <w:szCs w:val="32"/>
          <w:highlight w:val="none"/>
        </w:rPr>
        <w:t>本项目比选时间为</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1</w:t>
      </w:r>
      <w:r>
        <w:rPr>
          <w:rFonts w:hint="eastAsia" w:ascii="仿宋_GB2312" w:eastAsia="仿宋_GB2312"/>
          <w:kern w:val="0"/>
          <w:sz w:val="32"/>
          <w:szCs w:val="32"/>
          <w:highlight w:val="none"/>
        </w:rPr>
        <w:t>年</w:t>
      </w:r>
      <w:r>
        <w:rPr>
          <w:rFonts w:hint="eastAsia" w:ascii="仿宋_GB2312" w:eastAsia="仿宋_GB2312"/>
          <w:kern w:val="0"/>
          <w:sz w:val="32"/>
          <w:szCs w:val="32"/>
          <w:highlight w:val="none"/>
          <w:lang w:val="en-US" w:eastAsia="zh-CN"/>
        </w:rPr>
        <w:t>7</w:t>
      </w:r>
      <w:r>
        <w:rPr>
          <w:rFonts w:hint="eastAsia" w:ascii="仿宋_GB2312" w:eastAsia="仿宋_GB2312"/>
          <w:kern w:val="0"/>
          <w:sz w:val="32"/>
          <w:szCs w:val="32"/>
          <w:highlight w:val="none"/>
        </w:rPr>
        <w:t>月</w:t>
      </w:r>
      <w:r>
        <w:rPr>
          <w:rFonts w:hint="eastAsia" w:ascii="仿宋_GB2312" w:eastAsia="仿宋_GB2312"/>
          <w:kern w:val="0"/>
          <w:sz w:val="32"/>
          <w:szCs w:val="32"/>
          <w:highlight w:val="none"/>
          <w:lang w:val="en-US" w:eastAsia="zh-CN"/>
        </w:rPr>
        <w:t>23</w:t>
      </w:r>
      <w:r>
        <w:rPr>
          <w:rFonts w:hint="eastAsia" w:ascii="仿宋_GB2312" w:eastAsia="仿宋_GB2312"/>
          <w:kern w:val="0"/>
          <w:sz w:val="32"/>
          <w:szCs w:val="32"/>
          <w:highlight w:val="none"/>
        </w:rPr>
        <w:t>日</w:t>
      </w:r>
      <w:r>
        <w:rPr>
          <w:rFonts w:hint="eastAsia" w:ascii="仿宋_GB2312" w:eastAsia="仿宋_GB2312"/>
          <w:kern w:val="0"/>
          <w:sz w:val="32"/>
          <w:szCs w:val="32"/>
          <w:highlight w:val="none"/>
          <w:lang w:val="en-US" w:eastAsia="zh-CN"/>
        </w:rPr>
        <w:t>10:00</w:t>
      </w:r>
      <w:r>
        <w:rPr>
          <w:rFonts w:hint="eastAsia" w:ascii="仿宋_GB2312" w:eastAsia="仿宋_GB2312"/>
          <w:kern w:val="0"/>
          <w:sz w:val="32"/>
          <w:szCs w:val="32"/>
          <w:highlight w:val="none"/>
        </w:rPr>
        <w:t>时</w:t>
      </w:r>
      <w:r>
        <w:rPr>
          <w:rFonts w:hint="eastAsia" w:ascii="仿宋_GB2312" w:eastAsia="仿宋_GB2312"/>
          <w:kern w:val="0"/>
          <w:sz w:val="32"/>
          <w:szCs w:val="32"/>
          <w:highlight w:val="none"/>
          <w:lang w:eastAsia="zh-CN"/>
        </w:rPr>
        <w:t>（</w:t>
      </w:r>
      <w:r>
        <w:rPr>
          <w:rFonts w:hint="eastAsia" w:ascii="仿宋_GB2312" w:eastAsia="仿宋_GB2312"/>
          <w:kern w:val="0"/>
          <w:sz w:val="32"/>
          <w:szCs w:val="32"/>
          <w:highlight w:val="none"/>
          <w:lang w:val="en-US" w:eastAsia="zh-CN"/>
        </w:rPr>
        <w:t>以实际时间为准</w:t>
      </w:r>
      <w:r>
        <w:rPr>
          <w:rFonts w:hint="eastAsia" w:ascii="仿宋_GB2312" w:eastAsia="仿宋_GB2312"/>
          <w:kern w:val="0"/>
          <w:sz w:val="32"/>
          <w:szCs w:val="32"/>
          <w:highlight w:val="none"/>
          <w:lang w:eastAsia="zh-CN"/>
        </w:rPr>
        <w:t>）</w:t>
      </w:r>
      <w:r>
        <w:rPr>
          <w:rFonts w:hint="eastAsia" w:ascii="仿宋_GB2312" w:eastAsia="仿宋_GB2312"/>
          <w:kern w:val="0"/>
          <w:sz w:val="32"/>
          <w:szCs w:val="32"/>
          <w:highlight w:val="none"/>
        </w:rPr>
        <w:t>；</w:t>
      </w:r>
      <w:r>
        <w:rPr>
          <w:rFonts w:hint="eastAsia" w:eastAsia="仿宋_GB2312"/>
          <w:kern w:val="0"/>
          <w:sz w:val="32"/>
          <w:szCs w:val="32"/>
          <w:highlight w:val="none"/>
        </w:rPr>
        <w:t>比选地点为四川交投物流有限公司</w:t>
      </w:r>
      <w:r>
        <w:rPr>
          <w:rFonts w:hint="eastAsia" w:ascii="仿宋_GB2312" w:hAnsi="仿宋" w:eastAsia="仿宋_GB2312"/>
          <w:sz w:val="32"/>
          <w:szCs w:val="32"/>
          <w:highlight w:val="none"/>
        </w:rPr>
        <w:t>（成都市锦江区三色路银海芯座B栋22楼四川交投物流有限公司）。</w:t>
      </w:r>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highlight w:val="none"/>
          <w:lang w:val="en-US"/>
        </w:rPr>
      </w:pPr>
      <w:r>
        <w:rPr>
          <w:rFonts w:hint="eastAsia" w:ascii="仿宋_GB2312" w:hAnsi="仿宋" w:eastAsia="仿宋_GB2312"/>
          <w:sz w:val="32"/>
          <w:szCs w:val="32"/>
          <w:highlight w:val="none"/>
        </w:rPr>
        <w:t>2.比选时，比选人将当众查验比选申请文件密封情况，确认无误后拆封。</w:t>
      </w:r>
      <w:r>
        <w:rPr>
          <w:rFonts w:hint="eastAsia" w:ascii="仿宋_GB2312" w:hAnsi="仿宋" w:eastAsia="仿宋_GB2312"/>
          <w:sz w:val="32"/>
          <w:szCs w:val="32"/>
          <w:highlight w:val="none"/>
          <w:lang w:val="en-US" w:eastAsia="zh-CN"/>
        </w:rPr>
        <w:t>当比选申请人少于三人时将不予开标，比选申请文件将原封退还。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3.对按本比选文件规定的格式、内容和要求制作的比选申请文件进行符合性审查，只有通过符合性审查的比选申请文件才能进入下一阶段的评审，符合性审查主要内容如下：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（1）比选申请文件是否齐全，是否按照比选文件规定的格式、内容填写；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（2）比选申请文件正、副本是否按比选文件规定分别密封、标注，是否签字和加盖公章；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（3）比选申请文件正、副本主要条款是否—致；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（4）比选报价为固定价，而非浮动价；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（5）比选申请文件是否按时递交；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6</w:t>
      </w:r>
      <w:r>
        <w:rPr>
          <w:rFonts w:hint="eastAsia" w:ascii="仿宋_GB2312" w:hAnsi="仿宋" w:eastAsia="仿宋_GB2312"/>
          <w:sz w:val="32"/>
          <w:szCs w:val="32"/>
          <w:highlight w:val="none"/>
        </w:rPr>
        <w:t>）是否符合国家有关法规、文件和标准要求；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7</w:t>
      </w:r>
      <w:r>
        <w:rPr>
          <w:rFonts w:hint="eastAsia" w:ascii="仿宋_GB2312" w:hAnsi="仿宋" w:eastAsia="仿宋_GB2312"/>
          <w:sz w:val="32"/>
          <w:szCs w:val="32"/>
          <w:highlight w:val="none"/>
        </w:rPr>
        <w:t>）比选申请文件是否附有</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不能接受的条件。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.无论何种原因，在比选时没有启封的比选申请文件在比选时将不予考虑，</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对此不承担任何责任。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.比选评审组判断比选申请文件的响应性仅基于比选申请文件本身而不能依靠外部证据。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.为有助于对比选申请文件进行审查、评估和比较，比选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有权向参选机构质疑，请参选机构澄清其比选申请内容。参选机构须</w:t>
      </w:r>
      <w:r>
        <w:rPr>
          <w:rFonts w:hint="eastAsia" w:ascii="仿宋_GB2312" w:hAnsi="仿宋" w:eastAsia="仿宋_GB2312"/>
          <w:sz w:val="32"/>
          <w:szCs w:val="32"/>
          <w:highlight w:val="none"/>
          <w:lang w:val="en-US" w:eastAsia="zh-CN"/>
        </w:rPr>
        <w:t>保持通讯工具畅通或</w:t>
      </w:r>
      <w:r>
        <w:rPr>
          <w:rFonts w:hint="eastAsia" w:ascii="仿宋_GB2312" w:hAnsi="仿宋" w:eastAsia="仿宋_GB2312"/>
          <w:sz w:val="32"/>
          <w:szCs w:val="32"/>
          <w:highlight w:val="none"/>
        </w:rPr>
        <w:t>按照比选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通知的时间、地点指派专人进行答疑和澄清。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比选评审组评委根据比选文件规定对各参选机构的比选申请文件进行评议比较和打分。汇总各评委的评分结果，比选机构按得分高低次序顺序排出各项目比选名次。综合评分相同的，按报价评分由高到低顺序排列；综合评分相同，且报价评分相同的，按质量评分由高到低顺序排列；综合评分相同，且报价评分、质量评分均相同的，按进度评分由高到低顺序排列；综合评分相同，且报价评分、质量评分、进度评分均相同，按保密评分由高到低顺序排列；综合评分相同，且报价评分、质量评分、进度评分、保密评分均相同名次由评审组抽签决定，评审组按上述排列顺序向比选人推荐中选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8</w:t>
      </w:r>
      <w:r>
        <w:rPr>
          <w:rFonts w:hint="eastAsia" w:ascii="仿宋_GB2312" w:hAnsi="仿宋" w:eastAsia="仿宋_GB2312"/>
          <w:sz w:val="32"/>
          <w:szCs w:val="32"/>
          <w:highlight w:val="none"/>
        </w:rPr>
        <w:t>.比选实行综合评分法。评审组按照比选文件中附件七《比选评审办法》规定，分别评定各参选机构加分分值，加总各项分值之和即构成各参选机构的综合评分得分。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 xml:space="preserve">.比选评审中，一个计分内容出现2个或2个以上计分，或评分高出单项分值明显不合理，或违反比选文件规定的评分，均为无效计分。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.比选评审组成员采用记名评分的方式，在评分表中的任何改写处，均必须由该评分人员小签。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.比选评审组通过比选报告推荐标有排序的前</w:t>
      </w:r>
      <w:r>
        <w:rPr>
          <w:rFonts w:hint="eastAsia" w:ascii="仿宋_GB2312" w:hAnsi="仿宋" w:eastAsia="仿宋_GB2312"/>
          <w:sz w:val="32"/>
          <w:szCs w:val="32"/>
          <w:highlight w:val="none"/>
          <w:lang w:val="en-US" w:eastAsia="zh-CN"/>
        </w:rPr>
        <w:t>三</w:t>
      </w:r>
      <w:r>
        <w:rPr>
          <w:rFonts w:hint="eastAsia" w:ascii="仿宋_GB2312" w:hAnsi="仿宋" w:eastAsia="仿宋_GB2312"/>
          <w:sz w:val="32"/>
          <w:szCs w:val="32"/>
          <w:highlight w:val="none"/>
        </w:rPr>
        <w:t>位为中选候选人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若不足三名，则按相应数量排序</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sz w:val="32"/>
          <w:szCs w:val="32"/>
          <w:highlight w:val="none"/>
        </w:rPr>
        <w:t>，同时报告比选过程中的其他事项，比选报告应由比选评审组全体评委和监督人员签字。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确定得分排名第一位的为中选人，排名前面的中选人主动放弃中选或因不可抗力提出不能履行合同的，</w:t>
      </w:r>
      <w:r>
        <w:rPr>
          <w:rFonts w:hint="eastAsia" w:ascii="仿宋_GB2312" w:hAnsi="仿宋" w:eastAsia="仿宋_GB2312"/>
          <w:sz w:val="32"/>
          <w:szCs w:val="32"/>
          <w:highlight w:val="none"/>
          <w:lang w:eastAsia="zh-CN"/>
        </w:rPr>
        <w:t>比选人</w:t>
      </w:r>
      <w:r>
        <w:rPr>
          <w:rFonts w:hint="eastAsia" w:ascii="仿宋_GB2312" w:hAnsi="仿宋" w:eastAsia="仿宋_GB2312"/>
          <w:sz w:val="32"/>
          <w:szCs w:val="32"/>
          <w:highlight w:val="none"/>
        </w:rPr>
        <w:t>可以确定排名在其后的为中选人，依次类推。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.评比结束，比选</w:t>
      </w:r>
      <w:r>
        <w:rPr>
          <w:rFonts w:hint="eastAsia" w:ascii="仿宋_GB2312" w:hAnsi="仿宋" w:eastAsia="仿宋_GB2312"/>
          <w:sz w:val="32"/>
          <w:szCs w:val="32"/>
          <w:highlight w:val="none"/>
          <w:lang w:val="en-US" w:eastAsia="zh-CN"/>
        </w:rPr>
        <w:t>人</w:t>
      </w:r>
      <w:r>
        <w:rPr>
          <w:rFonts w:hint="eastAsia" w:ascii="仿宋_GB2312" w:hAnsi="仿宋" w:eastAsia="仿宋_GB2312"/>
          <w:sz w:val="32"/>
          <w:szCs w:val="32"/>
          <w:highlight w:val="none"/>
        </w:rPr>
        <w:t>应</w:t>
      </w:r>
      <w:r>
        <w:rPr>
          <w:rFonts w:hint="eastAsia" w:ascii="仿宋_GB2312" w:hAnsi="仿宋" w:eastAsia="仿宋_GB2312"/>
          <w:sz w:val="32"/>
          <w:szCs w:val="32"/>
          <w:highlight w:val="none"/>
          <w:lang w:val="en-US" w:eastAsia="zh-CN"/>
        </w:rPr>
        <w:t>及时</w:t>
      </w:r>
      <w:r>
        <w:rPr>
          <w:rFonts w:hint="eastAsia" w:ascii="仿宋_GB2312" w:hAnsi="仿宋" w:eastAsia="仿宋_GB2312"/>
          <w:sz w:val="32"/>
          <w:szCs w:val="32"/>
          <w:highlight w:val="none"/>
        </w:rPr>
        <w:t>向比选参选机构发出《中选通知书》。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.经批准，四川交投物流有限公司应依据《中选通知书》，与</w:t>
      </w:r>
      <w:r>
        <w:rPr>
          <w:rFonts w:hint="eastAsia" w:ascii="仿宋_GB2312" w:hAnsi="仿宋" w:eastAsia="仿宋_GB2312"/>
          <w:sz w:val="32"/>
          <w:szCs w:val="32"/>
          <w:highlight w:val="none"/>
          <w:lang w:val="en-US" w:eastAsia="zh-CN"/>
        </w:rPr>
        <w:t>中选人协商项目</w:t>
      </w:r>
      <w:r>
        <w:rPr>
          <w:rFonts w:hint="eastAsia" w:ascii="仿宋_GB2312" w:hAnsi="仿宋" w:eastAsia="仿宋_GB2312"/>
          <w:sz w:val="32"/>
          <w:szCs w:val="32"/>
          <w:highlight w:val="none"/>
        </w:rPr>
        <w:t>策划方案咨询</w:t>
      </w:r>
      <w:r>
        <w:rPr>
          <w:rFonts w:hint="eastAsia" w:ascii="仿宋_GB2312" w:hAnsi="仿宋" w:eastAsia="仿宋_GB2312"/>
          <w:sz w:val="32"/>
          <w:szCs w:val="32"/>
          <w:highlight w:val="none"/>
          <w:lang w:val="en-US" w:eastAsia="zh-CN"/>
        </w:rPr>
        <w:t>服务</w:t>
      </w:r>
      <w:r>
        <w:rPr>
          <w:rFonts w:hint="eastAsia" w:ascii="仿宋_GB2312" w:hAnsi="仿宋" w:eastAsia="仿宋_GB2312"/>
          <w:sz w:val="32"/>
          <w:szCs w:val="32"/>
          <w:highlight w:val="none"/>
        </w:rPr>
        <w:t>工作相关事宜。中选人因故放弃中选或提出不能履行合同的，</w:t>
      </w:r>
      <w:r>
        <w:rPr>
          <w:rFonts w:hint="eastAsia" w:ascii="仿宋_GB2312" w:hAnsi="仿宋" w:eastAsia="仿宋_GB2312"/>
          <w:sz w:val="32"/>
          <w:szCs w:val="32"/>
          <w:highlight w:val="none"/>
          <w:lang w:val="en-US" w:eastAsia="zh-CN"/>
        </w:rPr>
        <w:t>四川交投物流有限</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应依据比选报告确定该比选项目排名第二的替补为中选候选人，组织</w:t>
      </w:r>
      <w:r>
        <w:rPr>
          <w:rFonts w:hint="eastAsia" w:ascii="仿宋_GB2312" w:hAnsi="仿宋" w:eastAsia="仿宋_GB2312"/>
          <w:sz w:val="32"/>
          <w:szCs w:val="32"/>
          <w:highlight w:val="none"/>
          <w:lang w:val="en-US" w:eastAsia="zh-CN"/>
        </w:rPr>
        <w:t>项目</w:t>
      </w:r>
      <w:r>
        <w:rPr>
          <w:rFonts w:hint="eastAsia" w:ascii="仿宋_GB2312" w:hAnsi="仿宋" w:eastAsia="仿宋_GB2312"/>
          <w:sz w:val="32"/>
          <w:szCs w:val="32"/>
          <w:highlight w:val="none"/>
        </w:rPr>
        <w:t>策划方案咨询</w:t>
      </w:r>
      <w:r>
        <w:rPr>
          <w:rFonts w:hint="eastAsia" w:ascii="仿宋_GB2312" w:hAnsi="仿宋" w:eastAsia="仿宋_GB2312"/>
          <w:sz w:val="32"/>
          <w:szCs w:val="32"/>
          <w:highlight w:val="none"/>
          <w:lang w:val="en-US" w:eastAsia="zh-CN"/>
        </w:rPr>
        <w:t>服务</w:t>
      </w:r>
      <w:r>
        <w:rPr>
          <w:rFonts w:hint="eastAsia" w:ascii="仿宋_GB2312" w:hAnsi="仿宋" w:eastAsia="仿宋_GB2312"/>
          <w:sz w:val="32"/>
          <w:szCs w:val="32"/>
          <w:highlight w:val="none"/>
        </w:rPr>
        <w:t>工作相关事宜，并依次类推。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四川交投物流有限</w:t>
      </w:r>
      <w:r>
        <w:rPr>
          <w:rFonts w:hint="eastAsia" w:ascii="仿宋_GB2312" w:hAnsi="仿宋_GB2312" w:eastAsia="仿宋_GB2312" w:cs="仿宋_GB2312"/>
          <w:sz w:val="32"/>
          <w:szCs w:val="32"/>
          <w:highlight w:val="none"/>
        </w:rPr>
        <w:t>公司</w:t>
      </w:r>
      <w:r>
        <w:rPr>
          <w:rFonts w:hint="eastAsia" w:ascii="仿宋_GB2312" w:hAnsi="仿宋" w:eastAsia="仿宋_GB2312"/>
          <w:sz w:val="32"/>
          <w:szCs w:val="32"/>
          <w:highlight w:val="none"/>
        </w:rPr>
        <w:t>根据比选结果，最终确定委托的策划方案咨询机构签订服务合同。</w:t>
      </w:r>
    </w:p>
    <w:p>
      <w:pPr>
        <w:pStyle w:val="5"/>
        <w:rPr>
          <w:rFonts w:ascii="黑体" w:hAnsi="黑体" w:cs="黑体"/>
          <w:szCs w:val="32"/>
          <w:highlight w:val="none"/>
        </w:rPr>
      </w:pPr>
      <w:bookmarkStart w:id="51" w:name="_Toc10828"/>
      <w:bookmarkStart w:id="52" w:name="_Toc22616"/>
      <w:bookmarkStart w:id="53" w:name="_Toc448516846"/>
      <w:bookmarkStart w:id="54" w:name="_Toc14876"/>
      <w:bookmarkStart w:id="55" w:name="_Toc11926"/>
      <w:bookmarkStart w:id="56" w:name="_Toc42174556"/>
      <w:bookmarkStart w:id="57" w:name="_Toc1300629"/>
      <w:bookmarkStart w:id="58" w:name="_Toc3030"/>
      <w:bookmarkStart w:id="59" w:name="_Toc23204"/>
      <w:bookmarkStart w:id="60" w:name="_Toc15600"/>
      <w:bookmarkStart w:id="61" w:name="_Toc23359"/>
      <w:r>
        <w:rPr>
          <w:rFonts w:hint="eastAsia" w:ascii="黑体" w:hAnsi="黑体" w:eastAsia="黑体" w:cs="黑体"/>
          <w:bCs/>
          <w:sz w:val="32"/>
          <w:szCs w:val="32"/>
          <w:highlight w:val="none"/>
        </w:rPr>
        <w:t>附件一：比选申请书格式</w:t>
      </w:r>
      <w:bookmarkEnd w:id="51"/>
      <w:bookmarkEnd w:id="52"/>
      <w:bookmarkEnd w:id="53"/>
      <w:bookmarkEnd w:id="54"/>
      <w:bookmarkEnd w:id="55"/>
      <w:bookmarkEnd w:id="56"/>
      <w:bookmarkEnd w:id="57"/>
      <w:bookmarkEnd w:id="58"/>
      <w:bookmarkEnd w:id="59"/>
      <w:bookmarkEnd w:id="60"/>
      <w:bookmarkEnd w:id="61"/>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比选申请书</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致：</w:t>
      </w:r>
      <w:r>
        <w:rPr>
          <w:rFonts w:hint="eastAsia" w:ascii="仿宋_GB2312" w:hAnsi="仿宋" w:eastAsia="仿宋_GB2312"/>
          <w:sz w:val="32"/>
          <w:szCs w:val="32"/>
          <w:highlight w:val="none"/>
          <w:lang w:eastAsia="zh-CN"/>
        </w:rPr>
        <w:t>四川交投物流有限公司</w:t>
      </w:r>
      <w:r>
        <w:rPr>
          <w:rFonts w:hint="eastAsia" w:ascii="仿宋_GB2312" w:hAnsi="仿宋" w:eastAsia="仿宋_GB2312"/>
          <w:sz w:val="32"/>
          <w:szCs w:val="32"/>
          <w:highlight w:val="none"/>
        </w:rPr>
        <w:t>：</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我方确认收到贵方提供的某</w:t>
      </w:r>
      <w:r>
        <w:rPr>
          <w:rFonts w:hint="eastAsia" w:ascii="仿宋_GB2312" w:hAnsi="仿宋" w:eastAsia="仿宋_GB2312"/>
          <w:sz w:val="32"/>
          <w:szCs w:val="32"/>
          <w:highlight w:val="none"/>
          <w:lang w:val="en-US" w:eastAsia="zh-CN"/>
        </w:rPr>
        <w:t>现代物流基地</w:t>
      </w:r>
      <w:r>
        <w:rPr>
          <w:rFonts w:hint="eastAsia" w:ascii="仿宋_GB2312" w:hAnsi="仿宋" w:eastAsia="仿宋_GB2312"/>
          <w:sz w:val="32"/>
          <w:szCs w:val="32"/>
          <w:highlight w:val="none"/>
        </w:rPr>
        <w:t>项目策划方案比选文件的全部内容。</w:t>
      </w:r>
    </w:p>
    <w:p>
      <w:pPr>
        <w:spacing w:line="360" w:lineRule="auto"/>
        <w:ind w:firstLine="480"/>
        <w:rPr>
          <w:rFonts w:ascii="仿宋_GB2312" w:hAnsi="仿宋"/>
          <w:szCs w:val="32"/>
          <w:highlight w:val="none"/>
        </w:rPr>
      </w:pPr>
      <w:r>
        <w:rPr>
          <w:rFonts w:hint="eastAsia" w:ascii="仿宋_GB2312" w:hAnsi="仿宋" w:eastAsia="仿宋_GB2312"/>
          <w:sz w:val="32"/>
          <w:szCs w:val="32"/>
          <w:highlight w:val="none"/>
        </w:rPr>
        <w:t>我方：</w:t>
      </w:r>
      <w:r>
        <w:rPr>
          <w:rFonts w:hint="eastAsia" w:ascii="仿宋_GB2312" w:hAnsi="仿宋" w:eastAsia="仿宋_GB2312"/>
          <w:sz w:val="32"/>
          <w:szCs w:val="32"/>
          <w:highlight w:val="none"/>
          <w:u w:val="single"/>
        </w:rPr>
        <w:t xml:space="preserve">  (参选机构全称)  </w:t>
      </w:r>
      <w:r>
        <w:rPr>
          <w:rFonts w:hint="eastAsia" w:ascii="仿宋_GB2312" w:hAnsi="仿宋" w:eastAsia="仿宋_GB2312"/>
          <w:sz w:val="32"/>
          <w:szCs w:val="32"/>
          <w:highlight w:val="none"/>
        </w:rPr>
        <w:t>作为参选机构正式授权</w:t>
      </w:r>
      <w:r>
        <w:rPr>
          <w:rFonts w:hint="eastAsia" w:ascii="仿宋_GB2312" w:hAnsi="仿宋" w:eastAsia="仿宋_GB2312"/>
          <w:sz w:val="32"/>
          <w:szCs w:val="32"/>
          <w:highlight w:val="none"/>
          <w:u w:val="single"/>
        </w:rPr>
        <w:t>(授权代表姓名         ，职务         )</w:t>
      </w:r>
      <w:r>
        <w:rPr>
          <w:rFonts w:hint="eastAsia" w:ascii="仿宋_GB2312" w:hAnsi="仿宋" w:eastAsia="仿宋_GB2312"/>
          <w:sz w:val="32"/>
          <w:szCs w:val="32"/>
          <w:highlight w:val="none"/>
        </w:rPr>
        <w:t>代表我方进行有关本次比选的一切事宜。在此提交的比选申请文件，正本一份，副本五份。包括如下内容：</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（一）比选申请书；</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（二）法定代表人身份证复印件。如果有委托代理人的，应同时附法定代表人授权书、法定代表人身份</w:t>
      </w:r>
      <w:r>
        <w:rPr>
          <w:rFonts w:hint="eastAsia" w:ascii="仿宋_GB2312" w:hAnsi="仿宋" w:eastAsia="仿宋_GB2312"/>
          <w:sz w:val="32"/>
          <w:szCs w:val="32"/>
          <w:highlight w:val="none"/>
          <w:lang w:val="en-US" w:eastAsia="zh-CN"/>
        </w:rPr>
        <w:t>证</w:t>
      </w:r>
      <w:r>
        <w:rPr>
          <w:rFonts w:hint="eastAsia" w:ascii="仿宋_GB2312" w:hAnsi="仿宋" w:eastAsia="仿宋_GB2312"/>
          <w:sz w:val="32"/>
          <w:szCs w:val="32"/>
          <w:highlight w:val="none"/>
        </w:rPr>
        <w:t>复印件、委托代理人身份证复印件；</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三</w:t>
      </w:r>
      <w:r>
        <w:rPr>
          <w:rFonts w:hint="eastAsia" w:ascii="仿宋_GB2312" w:hAnsi="仿宋" w:eastAsia="仿宋_GB2312"/>
          <w:sz w:val="32"/>
          <w:szCs w:val="32"/>
          <w:highlight w:val="none"/>
        </w:rPr>
        <w:t>）</w:t>
      </w:r>
      <w:r>
        <w:rPr>
          <w:rFonts w:hint="eastAsia" w:ascii="仿宋_GB2312" w:hAnsi="仿宋" w:eastAsia="仿宋_GB2312" w:cs="宋体"/>
          <w:bCs w:val="0"/>
          <w:sz w:val="32"/>
          <w:szCs w:val="32"/>
          <w:highlight w:val="none"/>
        </w:rPr>
        <w:t>项目小组构成及成员基本情况</w:t>
      </w:r>
      <w:r>
        <w:rPr>
          <w:rFonts w:hint="eastAsia" w:ascii="仿宋_GB2312" w:hAnsi="仿宋" w:eastAsia="仿宋_GB2312" w:cs="宋体"/>
          <w:bCs w:val="0"/>
          <w:sz w:val="32"/>
          <w:szCs w:val="32"/>
          <w:highlight w:val="none"/>
          <w:lang w:eastAsia="zh-CN"/>
        </w:rPr>
        <w:t>，</w:t>
      </w:r>
      <w:r>
        <w:rPr>
          <w:rFonts w:hint="eastAsia" w:ascii="仿宋_GB2312" w:hAnsi="仿宋" w:eastAsia="仿宋_GB2312" w:cs="宋体"/>
          <w:sz w:val="32"/>
          <w:szCs w:val="32"/>
          <w:highlight w:val="none"/>
          <w:lang w:val="en-US" w:eastAsia="zh-CN"/>
        </w:rPr>
        <w:t>包括</w:t>
      </w:r>
      <w:r>
        <w:rPr>
          <w:rFonts w:hint="eastAsia" w:ascii="仿宋_GB2312" w:hAnsi="仿宋" w:eastAsia="仿宋_GB2312" w:cs="宋体"/>
          <w:sz w:val="32"/>
          <w:szCs w:val="32"/>
          <w:highlight w:val="none"/>
        </w:rPr>
        <w:t>项目负责人及项目组成员简介及其</w:t>
      </w:r>
      <w:r>
        <w:rPr>
          <w:rFonts w:hint="eastAsia" w:ascii="仿宋_GB2312" w:hAnsi="仿宋" w:eastAsia="仿宋_GB2312"/>
          <w:sz w:val="32"/>
          <w:szCs w:val="32"/>
          <w:highlight w:val="none"/>
        </w:rPr>
        <w:t xml:space="preserve">相关资格证书的复印件； </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四</w:t>
      </w:r>
      <w:r>
        <w:rPr>
          <w:rFonts w:hint="eastAsia" w:ascii="仿宋_GB2312" w:hAnsi="仿宋" w:eastAsia="仿宋_GB2312"/>
          <w:sz w:val="32"/>
          <w:szCs w:val="32"/>
          <w:highlight w:val="none"/>
        </w:rPr>
        <w:t>）比选报价表，即对</w:t>
      </w:r>
      <w:r>
        <w:rPr>
          <w:rFonts w:hint="eastAsia" w:ascii="仿宋_GB2312" w:hAnsi="仿宋" w:eastAsia="仿宋_GB2312"/>
          <w:sz w:val="32"/>
          <w:szCs w:val="32"/>
          <w:highlight w:val="none"/>
          <w:lang w:val="en-US" w:eastAsia="zh-CN"/>
        </w:rPr>
        <w:t>某现代物流基地项目策划方案咨询服务</w:t>
      </w:r>
      <w:r>
        <w:rPr>
          <w:rFonts w:hint="eastAsia" w:ascii="仿宋_GB2312" w:hAnsi="仿宋" w:eastAsia="仿宋_GB2312"/>
          <w:sz w:val="32"/>
          <w:szCs w:val="32"/>
          <w:highlight w:val="none"/>
        </w:rPr>
        <w:t>的包干总价服务费；</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五</w:t>
      </w:r>
      <w:r>
        <w:rPr>
          <w:rFonts w:hint="eastAsia" w:ascii="仿宋_GB2312" w:hAnsi="仿宋" w:eastAsia="仿宋_GB2312"/>
          <w:sz w:val="32"/>
          <w:szCs w:val="32"/>
          <w:highlight w:val="none"/>
        </w:rPr>
        <w:t>）营业执照副本和相关资质的影印件；</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六</w:t>
      </w:r>
      <w:r>
        <w:rPr>
          <w:rFonts w:hint="eastAsia" w:ascii="仿宋_GB2312" w:hAnsi="仿宋" w:eastAsia="仿宋_GB2312"/>
          <w:sz w:val="32"/>
          <w:szCs w:val="32"/>
          <w:highlight w:val="none"/>
        </w:rPr>
        <w:t>）承诺书与保密承诺函；</w:t>
      </w:r>
    </w:p>
    <w:p>
      <w:pPr>
        <w:spacing w:line="360" w:lineRule="auto"/>
        <w:ind w:firstLine="465"/>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七</w:t>
      </w:r>
      <w:r>
        <w:rPr>
          <w:rFonts w:hint="eastAsia" w:ascii="仿宋_GB2312" w:hAnsi="仿宋" w:eastAsia="仿宋_GB2312"/>
          <w:sz w:val="32"/>
          <w:szCs w:val="32"/>
          <w:highlight w:val="none"/>
        </w:rPr>
        <w:t>）为</w:t>
      </w:r>
      <w:r>
        <w:rPr>
          <w:rFonts w:hint="eastAsia" w:ascii="仿宋_GB2312" w:hAnsi="黑体" w:eastAsia="仿宋_GB2312"/>
          <w:sz w:val="32"/>
          <w:highlight w:val="none"/>
        </w:rPr>
        <w:t>政府、大型国有企业、世界500强企业等提供园区开发、物流及供应链设施等策划、规划咨询</w:t>
      </w:r>
      <w:r>
        <w:rPr>
          <w:rFonts w:hint="eastAsia" w:ascii="仿宋_GB2312" w:hAnsi="黑体" w:eastAsia="仿宋_GB2312"/>
          <w:sz w:val="32"/>
          <w:highlight w:val="none"/>
          <w:lang w:val="en-US" w:eastAsia="zh-CN"/>
        </w:rPr>
        <w:t>的</w:t>
      </w:r>
      <w:r>
        <w:rPr>
          <w:rFonts w:hint="eastAsia" w:ascii="仿宋_GB2312" w:hAnsi="黑体" w:eastAsia="仿宋_GB2312"/>
          <w:sz w:val="32"/>
          <w:highlight w:val="none"/>
        </w:rPr>
        <w:t>工作业绩</w:t>
      </w:r>
      <w:r>
        <w:rPr>
          <w:rFonts w:hint="eastAsia" w:ascii="仿宋_GB2312" w:hAnsi="仿宋" w:eastAsia="仿宋_GB2312"/>
          <w:sz w:val="32"/>
          <w:szCs w:val="32"/>
          <w:highlight w:val="none"/>
          <w:lang w:eastAsia="zh-CN"/>
        </w:rPr>
        <w:t>；</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八</w:t>
      </w:r>
      <w:r>
        <w:rPr>
          <w:rFonts w:hint="eastAsia" w:ascii="仿宋_GB2312" w:hAnsi="仿宋" w:eastAsia="仿宋_GB2312"/>
          <w:sz w:val="32"/>
          <w:szCs w:val="32"/>
          <w:highlight w:val="none"/>
        </w:rPr>
        <w:t>）公司简介、团队简介及项目策划方案；</w:t>
      </w:r>
    </w:p>
    <w:p>
      <w:pPr>
        <w:spacing w:line="360" w:lineRule="auto"/>
        <w:ind w:firstLine="465"/>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九</w:t>
      </w:r>
      <w:r>
        <w:rPr>
          <w:rFonts w:hint="eastAsia" w:ascii="仿宋_GB2312" w:hAnsi="仿宋" w:eastAsia="仿宋_GB2312"/>
          <w:sz w:val="32"/>
          <w:szCs w:val="32"/>
          <w:highlight w:val="none"/>
        </w:rPr>
        <w:t>）优质服务保障措施承诺书；</w:t>
      </w:r>
    </w:p>
    <w:p>
      <w:pPr>
        <w:spacing w:line="360" w:lineRule="auto"/>
        <w:ind w:firstLine="465"/>
        <w:rPr>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十</w:t>
      </w:r>
      <w:r>
        <w:rPr>
          <w:rFonts w:hint="eastAsia" w:ascii="仿宋_GB2312" w:hAnsi="仿宋" w:eastAsia="仿宋_GB2312"/>
          <w:sz w:val="32"/>
          <w:szCs w:val="32"/>
          <w:highlight w:val="none"/>
        </w:rPr>
        <w:t>）项目工作安排及时间进度表；</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（十</w:t>
      </w:r>
      <w:r>
        <w:rPr>
          <w:rFonts w:hint="eastAsia" w:ascii="仿宋_GB2312" w:hAnsi="仿宋" w:eastAsia="仿宋_GB2312"/>
          <w:sz w:val="32"/>
          <w:szCs w:val="32"/>
          <w:highlight w:val="none"/>
          <w:lang w:val="en-US" w:eastAsia="zh-CN"/>
        </w:rPr>
        <w:t>一</w:t>
      </w:r>
      <w:r>
        <w:rPr>
          <w:rFonts w:hint="eastAsia" w:ascii="仿宋_GB2312" w:hAnsi="仿宋" w:eastAsia="仿宋_GB2312"/>
          <w:sz w:val="32"/>
          <w:szCs w:val="32"/>
          <w:highlight w:val="none"/>
        </w:rPr>
        <w:t>）最近两年</w:t>
      </w:r>
      <w:r>
        <w:rPr>
          <w:rFonts w:hint="eastAsia" w:ascii="仿宋_GB2312" w:hAnsi="仿宋" w:eastAsia="仿宋_GB2312"/>
          <w:sz w:val="32"/>
          <w:szCs w:val="32"/>
          <w:highlight w:val="none"/>
          <w:lang w:val="en-US" w:eastAsia="zh-CN"/>
        </w:rPr>
        <w:t>财务</w:t>
      </w:r>
      <w:r>
        <w:rPr>
          <w:rFonts w:hint="eastAsia" w:ascii="仿宋_GB2312" w:hAnsi="仿宋" w:eastAsia="仿宋_GB2312"/>
          <w:sz w:val="32"/>
          <w:szCs w:val="32"/>
          <w:highlight w:val="none"/>
        </w:rPr>
        <w:t>报告；</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我方己完全明白比选文件的所有条款要求，并重申以下几点：</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(一)我方决定参加此次比选项目的策划方案咨询服务工作。</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(二)已经实施全部有关服务的比选报价及详细预算。</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(三)本比选申请文件的有效期至比选截止日后30天有效，如中选，有效期将延至合同终止日止。</w:t>
      </w:r>
    </w:p>
    <w:p>
      <w:pPr>
        <w:spacing w:line="360" w:lineRule="auto"/>
        <w:ind w:firstLine="480"/>
        <w:rPr>
          <w:rFonts w:ascii="仿宋_GB2312" w:hAnsi="仿宋" w:eastAsia="仿宋_GB2312"/>
          <w:sz w:val="32"/>
          <w:szCs w:val="32"/>
          <w:highlight w:val="none"/>
        </w:rPr>
      </w:pPr>
      <w:r>
        <w:rPr>
          <w:rFonts w:hint="eastAsia" w:ascii="仿宋_GB2312" w:hAnsi="仿宋" w:eastAsia="仿宋_GB2312"/>
          <w:sz w:val="32"/>
          <w:szCs w:val="32"/>
          <w:highlight w:val="none"/>
        </w:rPr>
        <w:t>(四)我方已详细研究了比选文件的所有内容包括修正文件(如有)和所有已提供的参考资料以及有关附件并完全明白。我方放弃在此方面提出含糊意见或误解的一切权力。</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(五)我方同意按照贵方可能提出的要求而提供与比选有关的任何其它数据或信息。</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(六)我方理解贵方不一定接受最低比选报价或任何贵方可能收到的比选申请。</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(七)我方如果中选，将保证履行比选文件以及比选文件修改书(如有)中全部责任和义务，按质、按量、按期完成《合同书》中的全部任务。</w:t>
      </w:r>
    </w:p>
    <w:p>
      <w:pPr>
        <w:spacing w:line="360" w:lineRule="auto"/>
        <w:ind w:firstLine="465"/>
        <w:rPr>
          <w:rFonts w:ascii="仿宋_GB2312" w:hAnsi="仿宋" w:eastAsia="仿宋_GB2312"/>
          <w:sz w:val="32"/>
          <w:szCs w:val="32"/>
          <w:highlight w:val="none"/>
        </w:rPr>
      </w:pPr>
      <w:r>
        <w:rPr>
          <w:rFonts w:hint="eastAsia" w:ascii="仿宋_GB2312" w:hAnsi="仿宋" w:eastAsia="仿宋_GB2312"/>
          <w:sz w:val="32"/>
          <w:szCs w:val="32"/>
          <w:highlight w:val="none"/>
        </w:rPr>
        <w:t>(八)所有与本次比选有关的函件请发往下列地址：</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地    址：  </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邮政编码：          电话：         传真：           </w:t>
      </w:r>
    </w:p>
    <w:p>
      <w:pPr>
        <w:spacing w:line="360" w:lineRule="auto"/>
        <w:ind w:left="-315" w:leftChars="-150"/>
        <w:rPr>
          <w:rFonts w:ascii="仿宋_GB2312" w:hAnsi="仿宋" w:eastAsia="仿宋_GB2312"/>
          <w:sz w:val="32"/>
          <w:szCs w:val="32"/>
          <w:highlight w:val="none"/>
        </w:rPr>
      </w:pPr>
      <w:r>
        <w:rPr>
          <w:rFonts w:hint="eastAsia" w:ascii="仿宋_GB2312" w:hAnsi="仿宋" w:eastAsia="仿宋_GB2312"/>
          <w:sz w:val="32"/>
          <w:szCs w:val="32"/>
          <w:highlight w:val="none"/>
        </w:rPr>
        <w:t xml:space="preserve">  代表姓名：             </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职    务：</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参选机构（法人公章）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参选机构地址：</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授权代表姓名（签名或盖章）</w:t>
      </w:r>
    </w:p>
    <w:p>
      <w:pPr>
        <w:spacing w:line="360" w:lineRule="auto"/>
        <w:ind w:right="1200" w:firstLine="0" w:firstLineChars="0"/>
        <w:jc w:val="left"/>
        <w:rPr>
          <w:rFonts w:ascii="仿宋_GB2312" w:hAnsi="仿宋" w:eastAsia="仿宋_GB2312"/>
          <w:sz w:val="32"/>
          <w:szCs w:val="32"/>
          <w:highlight w:val="none"/>
        </w:rPr>
      </w:pPr>
      <w:r>
        <w:rPr>
          <w:rFonts w:hint="eastAsia" w:ascii="仿宋_GB2312" w:hAnsi="仿宋" w:eastAsia="仿宋_GB2312"/>
          <w:sz w:val="32"/>
          <w:szCs w:val="32"/>
          <w:highlight w:val="none"/>
        </w:rPr>
        <w:t>日  期：</w:t>
      </w:r>
    </w:p>
    <w:p>
      <w:pPr>
        <w:widowControl/>
        <w:jc w:val="left"/>
        <w:rPr>
          <w:rFonts w:ascii="仿宋_GB2312" w:hAnsi="仿宋" w:eastAsia="仿宋_GB2312"/>
          <w:sz w:val="32"/>
          <w:szCs w:val="32"/>
          <w:highlight w:val="none"/>
        </w:rPr>
      </w:pPr>
      <w:r>
        <w:rPr>
          <w:rFonts w:ascii="仿宋_GB2312" w:hAnsi="仿宋" w:eastAsia="仿宋_GB2312"/>
          <w:sz w:val="32"/>
          <w:szCs w:val="32"/>
          <w:highlight w:val="none"/>
        </w:rPr>
        <w:br w:type="page"/>
      </w:r>
    </w:p>
    <w:p>
      <w:pPr>
        <w:pStyle w:val="5"/>
        <w:rPr>
          <w:rFonts w:ascii="黑体" w:hAnsi="黑体" w:cs="黑体"/>
          <w:szCs w:val="32"/>
          <w:highlight w:val="none"/>
        </w:rPr>
      </w:pPr>
      <w:bookmarkStart w:id="62" w:name="_Toc32236"/>
      <w:bookmarkStart w:id="63" w:name="_Toc448516847"/>
      <w:bookmarkStart w:id="64" w:name="_Toc1300630"/>
      <w:bookmarkStart w:id="65" w:name="_Toc14687"/>
      <w:bookmarkStart w:id="66" w:name="_Toc11315"/>
      <w:bookmarkStart w:id="67" w:name="_Toc29005"/>
      <w:bookmarkStart w:id="68" w:name="_Toc6135"/>
      <w:bookmarkStart w:id="69" w:name="_Toc24978"/>
      <w:bookmarkStart w:id="70" w:name="_Toc42174557"/>
      <w:bookmarkStart w:id="71" w:name="_Toc1300681"/>
      <w:bookmarkStart w:id="72" w:name="_Toc31660"/>
      <w:bookmarkStart w:id="73" w:name="_Toc11074"/>
      <w:r>
        <w:rPr>
          <w:rFonts w:hint="eastAsia" w:ascii="黑体" w:hAnsi="黑体" w:eastAsia="黑体" w:cs="黑体"/>
          <w:bCs/>
          <w:sz w:val="32"/>
          <w:szCs w:val="32"/>
          <w:highlight w:val="none"/>
        </w:rPr>
        <w:t>附件二：法定代表人授权书格式</w:t>
      </w:r>
      <w:bookmarkEnd w:id="62"/>
      <w:bookmarkEnd w:id="63"/>
      <w:bookmarkEnd w:id="64"/>
      <w:bookmarkEnd w:id="65"/>
      <w:bookmarkEnd w:id="66"/>
      <w:bookmarkEnd w:id="67"/>
      <w:bookmarkEnd w:id="68"/>
      <w:bookmarkEnd w:id="69"/>
      <w:bookmarkEnd w:id="70"/>
      <w:bookmarkEnd w:id="71"/>
      <w:bookmarkEnd w:id="72"/>
      <w:bookmarkEnd w:id="73"/>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法定代表人授权书</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致：</w:t>
      </w:r>
      <w:r>
        <w:rPr>
          <w:rFonts w:hint="eastAsia" w:ascii="仿宋_GB2312" w:hAnsi="仿宋" w:eastAsia="仿宋_GB2312"/>
          <w:sz w:val="32"/>
          <w:szCs w:val="32"/>
          <w:highlight w:val="none"/>
          <w:lang w:eastAsia="zh-CN"/>
        </w:rPr>
        <w:t>四川交投物流有限公司</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本授权书声明：注册于</w:t>
      </w:r>
      <w:r>
        <w:rPr>
          <w:rFonts w:hint="eastAsia" w:ascii="仿宋_GB2312" w:hAnsi="仿宋" w:eastAsia="仿宋_GB2312"/>
          <w:sz w:val="32"/>
          <w:szCs w:val="32"/>
          <w:highlight w:val="none"/>
          <w:u w:val="single"/>
        </w:rPr>
        <w:t xml:space="preserve">        (国家或地区)</w:t>
      </w:r>
      <w:r>
        <w:rPr>
          <w:rFonts w:hint="eastAsia" w:ascii="仿宋_GB2312" w:hAnsi="仿宋" w:eastAsia="仿宋_GB2312"/>
          <w:sz w:val="32"/>
          <w:szCs w:val="32"/>
          <w:highlight w:val="none"/>
        </w:rPr>
        <w:t xml:space="preserve">         </w:t>
      </w:r>
      <w:r>
        <w:rPr>
          <w:rFonts w:hint="eastAsia" w:ascii="仿宋_GB2312" w:hAnsi="仿宋" w:eastAsia="仿宋_GB2312"/>
          <w:sz w:val="32"/>
          <w:szCs w:val="32"/>
          <w:highlight w:val="none"/>
          <w:u w:val="single"/>
        </w:rPr>
        <w:t>(参选机构全称)</w:t>
      </w:r>
      <w:r>
        <w:rPr>
          <w:rFonts w:hint="eastAsia" w:ascii="仿宋_GB2312" w:hAnsi="仿宋" w:eastAsia="仿宋_GB2312"/>
          <w:sz w:val="32"/>
          <w:szCs w:val="32"/>
          <w:highlight w:val="none"/>
        </w:rPr>
        <w:t>在下面签字的</w:t>
      </w:r>
      <w:r>
        <w:rPr>
          <w:rFonts w:hint="eastAsia" w:ascii="仿宋_GB2312" w:hAnsi="仿宋" w:eastAsia="仿宋_GB2312"/>
          <w:sz w:val="32"/>
          <w:szCs w:val="32"/>
          <w:highlight w:val="none"/>
          <w:u w:val="single"/>
        </w:rPr>
        <w:t xml:space="preserve">      (法定代表人姓名、职务)</w:t>
      </w:r>
      <w:r>
        <w:rPr>
          <w:rFonts w:hint="eastAsia" w:ascii="仿宋_GB2312" w:hAnsi="仿宋" w:eastAsia="仿宋_GB2312"/>
          <w:sz w:val="32"/>
          <w:szCs w:val="32"/>
          <w:highlight w:val="none"/>
        </w:rPr>
        <w:t>代表本公司授权在下面签字的</w:t>
      </w:r>
      <w:r>
        <w:rPr>
          <w:rFonts w:hint="eastAsia" w:ascii="仿宋_GB2312" w:hAnsi="仿宋" w:eastAsia="仿宋_GB2312"/>
          <w:sz w:val="32"/>
          <w:szCs w:val="32"/>
          <w:highlight w:val="none"/>
          <w:u w:val="single"/>
        </w:rPr>
        <w:t>(被授权人的姓名、职务)</w:t>
      </w:r>
      <w:r>
        <w:rPr>
          <w:rFonts w:hint="eastAsia" w:ascii="仿宋_GB2312" w:hAnsi="仿宋" w:eastAsia="仿宋_GB2312"/>
          <w:sz w:val="32"/>
          <w:szCs w:val="32"/>
          <w:highlight w:val="none"/>
        </w:rPr>
        <w:t>为本公司的合法代表人，就贵司某</w:t>
      </w:r>
      <w:r>
        <w:rPr>
          <w:rFonts w:hint="eastAsia" w:ascii="仿宋_GB2312" w:hAnsi="仿宋" w:eastAsia="仿宋_GB2312"/>
          <w:sz w:val="32"/>
          <w:szCs w:val="32"/>
          <w:highlight w:val="none"/>
          <w:lang w:val="en-US" w:eastAsia="zh-CN"/>
        </w:rPr>
        <w:t>现代物流基地</w:t>
      </w:r>
      <w:r>
        <w:rPr>
          <w:rFonts w:hint="eastAsia" w:ascii="仿宋_GB2312" w:hAnsi="仿宋" w:eastAsia="仿宋_GB2312" w:cs="Times New Roman"/>
          <w:sz w:val="32"/>
          <w:szCs w:val="32"/>
          <w:highlight w:val="none"/>
        </w:rPr>
        <w:t>项目策划方案咨询服务</w:t>
      </w:r>
      <w:r>
        <w:rPr>
          <w:rFonts w:hint="eastAsia" w:ascii="仿宋_GB2312" w:hAnsi="仿宋" w:eastAsia="仿宋_GB2312"/>
          <w:sz w:val="32"/>
          <w:szCs w:val="32"/>
          <w:highlight w:val="none"/>
        </w:rPr>
        <w:t>比选申请文件和中选后的合同执行，以我方的名义处理一切与之有关的事宜。</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本授权书于    年    月    日签字生效，特此声明。</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参选机构（法人公章）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地    址：</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法定代表人(签字或盖章)：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职    务：</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被授权人(签字或盖章)：</w:t>
      </w:r>
    </w:p>
    <w:p>
      <w:pPr>
        <w:spacing w:line="600" w:lineRule="exact"/>
        <w:rPr>
          <w:rFonts w:ascii="仿宋_GB2312" w:hAnsi="仿宋" w:eastAsia="仿宋_GB2312"/>
          <w:sz w:val="32"/>
          <w:szCs w:val="32"/>
          <w:highlight w:val="none"/>
        </w:rPr>
      </w:pPr>
      <w:r>
        <w:rPr>
          <w:rFonts w:hint="eastAsia" w:ascii="仿宋_GB2312" w:hAnsi="仿宋" w:eastAsia="仿宋_GB2312"/>
          <w:sz w:val="32"/>
          <w:szCs w:val="32"/>
          <w:highlight w:val="none"/>
        </w:rPr>
        <w:t xml:space="preserve">                            职    务：</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日    期：</w:t>
      </w:r>
    </w:p>
    <w:p>
      <w:pPr>
        <w:spacing w:line="360" w:lineRule="auto"/>
        <w:rPr>
          <w:rFonts w:ascii="仿宋_GB2312" w:hAnsi="仿宋" w:eastAsia="仿宋_GB2312"/>
          <w:sz w:val="32"/>
          <w:szCs w:val="32"/>
          <w:highlight w:val="none"/>
        </w:rPr>
      </w:pPr>
    </w:p>
    <w:p>
      <w:pPr>
        <w:widowControl/>
        <w:jc w:val="left"/>
        <w:rPr>
          <w:rFonts w:ascii="黑体" w:eastAsia="黑体"/>
          <w:b/>
          <w:bCs/>
          <w:kern w:val="44"/>
          <w:sz w:val="32"/>
          <w:szCs w:val="32"/>
          <w:highlight w:val="none"/>
        </w:rPr>
      </w:pPr>
      <w:bookmarkStart w:id="74" w:name="_Toc448516848"/>
      <w:r>
        <w:rPr>
          <w:rFonts w:ascii="黑体" w:eastAsia="黑体"/>
          <w:sz w:val="32"/>
          <w:szCs w:val="32"/>
          <w:highlight w:val="none"/>
        </w:rPr>
        <w:br w:type="page"/>
      </w:r>
    </w:p>
    <w:p>
      <w:pPr>
        <w:pStyle w:val="5"/>
        <w:rPr>
          <w:rFonts w:ascii="黑体" w:hAnsi="黑体" w:cs="黑体"/>
          <w:szCs w:val="32"/>
          <w:highlight w:val="none"/>
        </w:rPr>
      </w:pPr>
      <w:bookmarkStart w:id="75" w:name="_Toc42174558"/>
      <w:bookmarkStart w:id="76" w:name="_Toc1300682"/>
      <w:bookmarkStart w:id="77" w:name="_Toc8908"/>
      <w:bookmarkStart w:id="78" w:name="_Toc14577"/>
      <w:bookmarkStart w:id="79" w:name="_Toc4319"/>
      <w:bookmarkStart w:id="80" w:name="_Toc1300631"/>
      <w:bookmarkStart w:id="81" w:name="_Toc1803"/>
      <w:bookmarkStart w:id="82" w:name="_Toc24640"/>
      <w:bookmarkStart w:id="83" w:name="_Toc2517"/>
      <w:bookmarkStart w:id="84" w:name="_Toc14013"/>
      <w:bookmarkStart w:id="85" w:name="_Toc26386"/>
      <w:r>
        <w:rPr>
          <w:rFonts w:hint="eastAsia" w:ascii="黑体" w:hAnsi="黑体" w:eastAsia="黑体" w:cs="黑体"/>
          <w:bCs/>
          <w:sz w:val="32"/>
          <w:szCs w:val="32"/>
          <w:highlight w:val="none"/>
        </w:rPr>
        <w:t>附件三：项目小组构成及成员基本情况</w:t>
      </w:r>
      <w:bookmarkEnd w:id="75"/>
      <w:bookmarkEnd w:id="76"/>
      <w:bookmarkEnd w:id="77"/>
      <w:bookmarkEnd w:id="78"/>
      <w:bookmarkEnd w:id="79"/>
      <w:bookmarkEnd w:id="80"/>
      <w:bookmarkEnd w:id="81"/>
      <w:bookmarkEnd w:id="82"/>
      <w:bookmarkEnd w:id="83"/>
      <w:bookmarkEnd w:id="84"/>
      <w:bookmarkEnd w:id="85"/>
    </w:p>
    <w:p>
      <w:pPr>
        <w:spacing w:line="360" w:lineRule="auto"/>
        <w:rPr>
          <w:rFonts w:ascii="黑体" w:hAnsi="黑体" w:eastAsia="黑体"/>
          <w:sz w:val="32"/>
          <w:szCs w:val="32"/>
          <w:highlight w:val="none"/>
        </w:rPr>
      </w:pPr>
      <w:r>
        <w:rPr>
          <w:rFonts w:hint="eastAsia" w:ascii="黑体" w:hAnsi="黑体" w:eastAsia="黑体"/>
          <w:sz w:val="32"/>
          <w:szCs w:val="32"/>
          <w:highlight w:val="none"/>
        </w:rPr>
        <w:t>一、项目负责人及项目主要参与人员基本情况</w:t>
      </w:r>
    </w:p>
    <w:tbl>
      <w:tblPr>
        <w:tblStyle w:val="21"/>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姓名</w:t>
            </w:r>
          </w:p>
        </w:tc>
        <w:tc>
          <w:tcPr>
            <w:tcW w:w="910"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年龄</w:t>
            </w:r>
          </w:p>
        </w:tc>
        <w:tc>
          <w:tcPr>
            <w:tcW w:w="2519" w:type="dxa"/>
            <w:vAlign w:val="center"/>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类似工作</w:t>
            </w:r>
          </w:p>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经验年限</w:t>
            </w:r>
          </w:p>
        </w:tc>
        <w:tc>
          <w:tcPr>
            <w:tcW w:w="1804"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现</w:t>
            </w:r>
            <w:r>
              <w:rPr>
                <w:rFonts w:ascii="仿宋_GB2312" w:eastAsia="仿宋_GB2312"/>
                <w:kern w:val="0"/>
                <w:sz w:val="24"/>
                <w:highlight w:val="none"/>
              </w:rPr>
              <w:t>任职务</w:t>
            </w:r>
          </w:p>
        </w:tc>
        <w:tc>
          <w:tcPr>
            <w:tcW w:w="1942"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项目</w:t>
            </w:r>
            <w:r>
              <w:rPr>
                <w:rFonts w:ascii="仿宋_GB2312" w:eastAsia="仿宋_GB2312"/>
                <w:kern w:val="0"/>
                <w:sz w:val="24"/>
                <w:highlight w:val="none"/>
              </w:rPr>
              <w:t>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pPr>
              <w:snapToGrid w:val="0"/>
              <w:ind w:left="-57" w:right="-57"/>
              <w:jc w:val="center"/>
              <w:rPr>
                <w:rFonts w:ascii="仿宋_GB2312" w:eastAsia="仿宋_GB2312"/>
                <w:kern w:val="0"/>
                <w:sz w:val="24"/>
                <w:highlight w:val="none"/>
              </w:rPr>
            </w:pPr>
          </w:p>
          <w:p>
            <w:pPr>
              <w:snapToGrid w:val="0"/>
              <w:ind w:left="-57" w:right="-57"/>
              <w:jc w:val="center"/>
              <w:rPr>
                <w:rFonts w:ascii="仿宋_GB2312" w:eastAsia="仿宋_GB2312"/>
                <w:kern w:val="0"/>
                <w:sz w:val="24"/>
                <w:highlight w:val="none"/>
              </w:rPr>
            </w:pPr>
          </w:p>
        </w:tc>
        <w:tc>
          <w:tcPr>
            <w:tcW w:w="910" w:type="dxa"/>
            <w:vAlign w:val="center"/>
          </w:tcPr>
          <w:p>
            <w:pPr>
              <w:snapToGrid w:val="0"/>
              <w:ind w:left="-57" w:right="-57"/>
              <w:jc w:val="center"/>
              <w:rPr>
                <w:rFonts w:ascii="仿宋_GB2312" w:eastAsia="仿宋_GB2312"/>
                <w:kern w:val="0"/>
                <w:sz w:val="24"/>
                <w:highlight w:val="none"/>
              </w:rPr>
            </w:pPr>
          </w:p>
        </w:tc>
        <w:tc>
          <w:tcPr>
            <w:tcW w:w="2519" w:type="dxa"/>
            <w:vAlign w:val="center"/>
          </w:tcPr>
          <w:p>
            <w:pPr>
              <w:snapToGrid w:val="0"/>
              <w:ind w:left="-57" w:right="-57"/>
              <w:jc w:val="center"/>
              <w:rPr>
                <w:rFonts w:ascii="仿宋_GB2312" w:eastAsia="仿宋_GB2312"/>
                <w:kern w:val="0"/>
                <w:sz w:val="24"/>
                <w:highlight w:val="none"/>
              </w:rPr>
            </w:pPr>
          </w:p>
        </w:tc>
        <w:tc>
          <w:tcPr>
            <w:tcW w:w="1804" w:type="dxa"/>
            <w:vAlign w:val="center"/>
          </w:tcPr>
          <w:p>
            <w:pPr>
              <w:snapToGrid w:val="0"/>
              <w:ind w:left="-57" w:right="-57"/>
              <w:jc w:val="center"/>
              <w:rPr>
                <w:rFonts w:ascii="仿宋_GB2312" w:eastAsia="仿宋_GB2312"/>
                <w:kern w:val="0"/>
                <w:sz w:val="24"/>
                <w:highlight w:val="none"/>
              </w:rPr>
            </w:pPr>
          </w:p>
        </w:tc>
        <w:tc>
          <w:tcPr>
            <w:tcW w:w="1942" w:type="dxa"/>
          </w:tcPr>
          <w:p>
            <w:pPr>
              <w:snapToGrid w:val="0"/>
              <w:ind w:left="-57" w:right="-57"/>
              <w:jc w:val="center"/>
              <w:rPr>
                <w:rFonts w:ascii="仿宋_GB2312" w:eastAsia="仿宋_GB2312"/>
                <w:kern w:val="0"/>
                <w:sz w:val="24"/>
                <w:highlight w:val="none"/>
              </w:rPr>
            </w:pPr>
          </w:p>
        </w:tc>
      </w:tr>
    </w:tbl>
    <w:p>
      <w:pPr>
        <w:spacing w:line="600" w:lineRule="exact"/>
        <w:rPr>
          <w:rFonts w:ascii="仿宋" w:hAnsi="仿宋" w:eastAsia="仿宋"/>
          <w:sz w:val="24"/>
          <w:highlight w:val="none"/>
        </w:rPr>
      </w:pPr>
    </w:p>
    <w:p>
      <w:pPr>
        <w:spacing w:line="360" w:lineRule="auto"/>
        <w:rPr>
          <w:rFonts w:ascii="黑体" w:hAnsi="黑体" w:eastAsia="黑体"/>
          <w:sz w:val="32"/>
          <w:szCs w:val="32"/>
          <w:highlight w:val="none"/>
        </w:rPr>
      </w:pPr>
      <w:bookmarkStart w:id="86" w:name="_Toc455607508"/>
      <w:r>
        <w:rPr>
          <w:rFonts w:hint="eastAsia" w:ascii="黑体" w:hAnsi="黑体" w:eastAsia="黑体"/>
          <w:sz w:val="32"/>
          <w:szCs w:val="32"/>
          <w:highlight w:val="none"/>
        </w:rPr>
        <w:t>二、</w:t>
      </w:r>
      <w:r>
        <w:rPr>
          <w:rFonts w:ascii="黑体" w:hAnsi="黑体" w:eastAsia="黑体"/>
          <w:sz w:val="32"/>
          <w:szCs w:val="32"/>
          <w:highlight w:val="none"/>
        </w:rPr>
        <w:t>投入本</w:t>
      </w:r>
      <w:r>
        <w:rPr>
          <w:rFonts w:hint="eastAsia" w:ascii="黑体" w:hAnsi="黑体" w:eastAsia="黑体"/>
          <w:sz w:val="32"/>
          <w:szCs w:val="32"/>
          <w:highlight w:val="none"/>
        </w:rPr>
        <w:t>项目</w:t>
      </w:r>
      <w:r>
        <w:rPr>
          <w:rFonts w:ascii="黑体" w:hAnsi="黑体" w:eastAsia="黑体"/>
          <w:sz w:val="32"/>
          <w:szCs w:val="32"/>
          <w:highlight w:val="none"/>
        </w:rPr>
        <w:t>的主要</w:t>
      </w:r>
      <w:r>
        <w:rPr>
          <w:rFonts w:hint="eastAsia" w:ascii="黑体" w:hAnsi="黑体" w:eastAsia="黑体"/>
          <w:sz w:val="32"/>
          <w:szCs w:val="32"/>
          <w:highlight w:val="none"/>
        </w:rPr>
        <w:t>负责人</w:t>
      </w:r>
      <w:r>
        <w:rPr>
          <w:rFonts w:ascii="黑体" w:hAnsi="黑体" w:eastAsia="黑体"/>
          <w:sz w:val="32"/>
          <w:szCs w:val="32"/>
          <w:highlight w:val="none"/>
        </w:rPr>
        <w:t>资历表</w:t>
      </w:r>
      <w:bookmarkEnd w:id="86"/>
    </w:p>
    <w:tbl>
      <w:tblPr>
        <w:tblStyle w:val="2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4"/>
        <w:gridCol w:w="976"/>
        <w:gridCol w:w="1654"/>
        <w:gridCol w:w="126"/>
        <w:gridCol w:w="1329"/>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姓名</w:t>
            </w:r>
          </w:p>
        </w:tc>
        <w:tc>
          <w:tcPr>
            <w:tcW w:w="1774" w:type="dxa"/>
          </w:tcPr>
          <w:p>
            <w:pPr>
              <w:snapToGrid w:val="0"/>
              <w:ind w:left="-57" w:right="-57"/>
              <w:jc w:val="center"/>
              <w:rPr>
                <w:rFonts w:ascii="仿宋_GB2312" w:eastAsia="仿宋_GB2312"/>
                <w:kern w:val="0"/>
                <w:sz w:val="24"/>
                <w:highlight w:val="none"/>
              </w:rPr>
            </w:pPr>
          </w:p>
        </w:tc>
        <w:tc>
          <w:tcPr>
            <w:tcW w:w="97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职务</w:t>
            </w:r>
          </w:p>
        </w:tc>
        <w:tc>
          <w:tcPr>
            <w:tcW w:w="1654" w:type="dxa"/>
          </w:tcPr>
          <w:p>
            <w:pPr>
              <w:snapToGrid w:val="0"/>
              <w:ind w:left="-57" w:right="-57"/>
              <w:jc w:val="center"/>
              <w:rPr>
                <w:rFonts w:ascii="仿宋_GB2312" w:eastAsia="仿宋_GB2312"/>
                <w:kern w:val="0"/>
                <w:sz w:val="24"/>
                <w:highlight w:val="none"/>
              </w:rPr>
            </w:pPr>
          </w:p>
        </w:tc>
        <w:tc>
          <w:tcPr>
            <w:tcW w:w="1455"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职称</w:t>
            </w:r>
          </w:p>
        </w:tc>
        <w:tc>
          <w:tcPr>
            <w:tcW w:w="1301" w:type="dxa"/>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年龄</w:t>
            </w:r>
          </w:p>
        </w:tc>
        <w:tc>
          <w:tcPr>
            <w:tcW w:w="1774" w:type="dxa"/>
          </w:tcPr>
          <w:p>
            <w:pPr>
              <w:snapToGrid w:val="0"/>
              <w:ind w:left="-57" w:right="-57"/>
              <w:jc w:val="center"/>
              <w:rPr>
                <w:rFonts w:ascii="仿宋_GB2312" w:eastAsia="仿宋_GB2312"/>
                <w:kern w:val="0"/>
                <w:sz w:val="24"/>
                <w:highlight w:val="none"/>
              </w:rPr>
            </w:pPr>
          </w:p>
        </w:tc>
        <w:tc>
          <w:tcPr>
            <w:tcW w:w="976" w:type="dxa"/>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现</w:t>
            </w:r>
            <w:r>
              <w:rPr>
                <w:rFonts w:ascii="仿宋_GB2312" w:eastAsia="仿宋_GB2312"/>
                <w:kern w:val="0"/>
                <w:sz w:val="24"/>
                <w:highlight w:val="none"/>
              </w:rPr>
              <w:t>任职</w:t>
            </w:r>
          </w:p>
        </w:tc>
        <w:tc>
          <w:tcPr>
            <w:tcW w:w="1654" w:type="dxa"/>
          </w:tcPr>
          <w:p>
            <w:pPr>
              <w:snapToGrid w:val="0"/>
              <w:ind w:left="-57" w:right="-57"/>
              <w:jc w:val="center"/>
              <w:rPr>
                <w:rFonts w:ascii="仿宋_GB2312" w:eastAsia="仿宋_GB2312"/>
                <w:kern w:val="0"/>
                <w:sz w:val="24"/>
                <w:highlight w:val="none"/>
              </w:rPr>
            </w:pPr>
          </w:p>
        </w:tc>
        <w:tc>
          <w:tcPr>
            <w:tcW w:w="1455"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参加工作时间</w:t>
            </w:r>
          </w:p>
        </w:tc>
        <w:tc>
          <w:tcPr>
            <w:tcW w:w="1301" w:type="dxa"/>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10"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学历（毕业学校、时间、专业）</w:t>
            </w:r>
          </w:p>
        </w:tc>
        <w:tc>
          <w:tcPr>
            <w:tcW w:w="5386" w:type="dxa"/>
            <w:gridSpan w:val="5"/>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开始年份</w:t>
            </w:r>
          </w:p>
        </w:tc>
        <w:tc>
          <w:tcPr>
            <w:tcW w:w="4530" w:type="dxa"/>
            <w:gridSpan w:val="4"/>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参加过的主要项目名称</w:t>
            </w:r>
          </w:p>
        </w:tc>
        <w:tc>
          <w:tcPr>
            <w:tcW w:w="2630" w:type="dxa"/>
            <w:gridSpan w:val="2"/>
          </w:tcPr>
          <w:p>
            <w:pPr>
              <w:snapToGrid w:val="0"/>
              <w:ind w:left="-57" w:right="-57"/>
              <w:jc w:val="center"/>
              <w:rPr>
                <w:rFonts w:ascii="仿宋_GB2312" w:eastAsia="仿宋_GB2312"/>
                <w:kern w:val="0"/>
                <w:sz w:val="24"/>
                <w:highlight w:val="none"/>
              </w:rPr>
            </w:pPr>
            <w:r>
              <w:rPr>
                <w:rFonts w:ascii="仿宋_GB2312" w:eastAsia="仿宋_GB2312"/>
                <w:kern w:val="0"/>
                <w:sz w:val="24"/>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pPr>
              <w:snapToGrid w:val="0"/>
              <w:ind w:left="-57" w:right="-57"/>
              <w:jc w:val="center"/>
              <w:rPr>
                <w:rFonts w:ascii="仿宋_GB2312" w:eastAsia="仿宋_GB2312"/>
                <w:kern w:val="0"/>
                <w:sz w:val="24"/>
                <w:highlight w:val="none"/>
              </w:rPr>
            </w:pPr>
          </w:p>
        </w:tc>
        <w:tc>
          <w:tcPr>
            <w:tcW w:w="4530" w:type="dxa"/>
            <w:gridSpan w:val="4"/>
            <w:vAlign w:val="center"/>
          </w:tcPr>
          <w:p>
            <w:pPr>
              <w:snapToGrid w:val="0"/>
              <w:ind w:left="-57" w:right="-57"/>
              <w:jc w:val="center"/>
              <w:rPr>
                <w:rFonts w:ascii="仿宋_GB2312" w:eastAsia="仿宋_GB2312"/>
                <w:kern w:val="0"/>
                <w:sz w:val="24"/>
                <w:highlight w:val="none"/>
              </w:rPr>
            </w:pPr>
          </w:p>
        </w:tc>
        <w:tc>
          <w:tcPr>
            <w:tcW w:w="2630" w:type="dxa"/>
            <w:gridSpan w:val="2"/>
            <w:vAlign w:val="center"/>
          </w:tcPr>
          <w:p>
            <w:pPr>
              <w:snapToGrid w:val="0"/>
              <w:ind w:left="-57" w:right="-57"/>
              <w:jc w:val="center"/>
              <w:rPr>
                <w:rFonts w:ascii="仿宋_GB2312" w:eastAsia="仿宋_GB2312"/>
                <w:kern w:val="0"/>
                <w:sz w:val="24"/>
                <w:highlight w:val="none"/>
              </w:rPr>
            </w:pPr>
          </w:p>
        </w:tc>
      </w:tr>
    </w:tbl>
    <w:p>
      <w:pPr>
        <w:widowControl/>
        <w:jc w:val="left"/>
        <w:rPr>
          <w:highlight w:val="none"/>
        </w:rPr>
      </w:pPr>
      <w:r>
        <w:rPr>
          <w:rFonts w:ascii="仿宋_GB2312" w:eastAsia="仿宋_GB2312"/>
          <w:sz w:val="24"/>
          <w:highlight w:val="none"/>
        </w:rPr>
        <w:t>注：在本表后应附</w:t>
      </w:r>
      <w:r>
        <w:rPr>
          <w:rFonts w:hint="eastAsia" w:ascii="仿宋_GB2312" w:eastAsia="仿宋_GB2312"/>
          <w:sz w:val="24"/>
          <w:highlight w:val="none"/>
        </w:rPr>
        <w:t>其</w:t>
      </w:r>
      <w:r>
        <w:rPr>
          <w:rFonts w:ascii="仿宋_GB2312" w:eastAsia="仿宋_GB2312"/>
          <w:sz w:val="24"/>
          <w:highlight w:val="none"/>
        </w:rPr>
        <w:t>相关证件等。</w:t>
      </w:r>
      <w:bookmarkStart w:id="87" w:name="_Toc455607509"/>
    </w:p>
    <w:p>
      <w:pPr>
        <w:pStyle w:val="4"/>
        <w:rPr>
          <w:rFonts w:hint="eastAsia" w:ascii="仿宋_GB2312" w:hAnsi="仿宋" w:eastAsia="仿宋_GB2312"/>
          <w:sz w:val="32"/>
          <w:szCs w:val="32"/>
          <w:highlight w:val="none"/>
        </w:rPr>
      </w:pPr>
    </w:p>
    <w:p>
      <w:pPr>
        <w:spacing w:line="360" w:lineRule="auto"/>
        <w:rPr>
          <w:rFonts w:ascii="黑体" w:hAnsi="黑体" w:eastAsia="黑体"/>
          <w:sz w:val="32"/>
          <w:szCs w:val="32"/>
          <w:highlight w:val="none"/>
        </w:rPr>
      </w:pPr>
      <w:r>
        <w:rPr>
          <w:rFonts w:hint="eastAsia" w:ascii="黑体" w:hAnsi="黑体" w:eastAsia="黑体"/>
          <w:sz w:val="32"/>
          <w:szCs w:val="32"/>
          <w:highlight w:val="none"/>
        </w:rPr>
        <w:t>三、</w:t>
      </w:r>
      <w:r>
        <w:rPr>
          <w:rFonts w:ascii="黑体" w:hAnsi="黑体" w:eastAsia="黑体"/>
          <w:sz w:val="32"/>
          <w:szCs w:val="32"/>
          <w:highlight w:val="none"/>
        </w:rPr>
        <w:t>投入本</w:t>
      </w:r>
      <w:r>
        <w:rPr>
          <w:rFonts w:hint="eastAsia" w:ascii="黑体" w:hAnsi="黑体" w:eastAsia="黑体"/>
          <w:sz w:val="32"/>
          <w:szCs w:val="32"/>
          <w:highlight w:val="none"/>
        </w:rPr>
        <w:t>项目</w:t>
      </w:r>
      <w:r>
        <w:rPr>
          <w:rFonts w:ascii="黑体" w:hAnsi="黑体" w:eastAsia="黑体"/>
          <w:sz w:val="32"/>
          <w:szCs w:val="32"/>
          <w:highlight w:val="none"/>
        </w:rPr>
        <w:t>的主要</w:t>
      </w:r>
      <w:r>
        <w:rPr>
          <w:rFonts w:hint="eastAsia" w:ascii="黑体" w:hAnsi="黑体" w:eastAsia="黑体"/>
          <w:sz w:val="32"/>
          <w:szCs w:val="32"/>
          <w:highlight w:val="none"/>
        </w:rPr>
        <w:t>团队人员</w:t>
      </w:r>
      <w:r>
        <w:rPr>
          <w:rFonts w:ascii="黑体" w:hAnsi="黑体" w:eastAsia="黑体"/>
          <w:sz w:val="32"/>
          <w:szCs w:val="32"/>
          <w:highlight w:val="none"/>
        </w:rPr>
        <w:t>资历表</w:t>
      </w:r>
      <w:bookmarkEnd w:id="87"/>
    </w:p>
    <w:tbl>
      <w:tblPr>
        <w:tblStyle w:val="21"/>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姓名</w:t>
            </w:r>
          </w:p>
        </w:tc>
        <w:tc>
          <w:tcPr>
            <w:tcW w:w="1793" w:type="dxa"/>
            <w:vAlign w:val="center"/>
          </w:tcPr>
          <w:p>
            <w:pPr>
              <w:snapToGrid w:val="0"/>
              <w:ind w:left="-57" w:right="-57"/>
              <w:jc w:val="center"/>
              <w:rPr>
                <w:rFonts w:ascii="仿宋_GB2312" w:eastAsia="仿宋_GB2312"/>
                <w:kern w:val="0"/>
                <w:sz w:val="24"/>
                <w:highlight w:val="none"/>
              </w:rPr>
            </w:pPr>
          </w:p>
        </w:tc>
        <w:tc>
          <w:tcPr>
            <w:tcW w:w="985"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职务</w:t>
            </w:r>
          </w:p>
        </w:tc>
        <w:tc>
          <w:tcPr>
            <w:tcW w:w="1597" w:type="dxa"/>
            <w:vAlign w:val="center"/>
          </w:tcPr>
          <w:p>
            <w:pPr>
              <w:snapToGrid w:val="0"/>
              <w:ind w:left="-57" w:right="-57"/>
              <w:jc w:val="center"/>
              <w:rPr>
                <w:rFonts w:ascii="仿宋_GB2312" w:eastAsia="仿宋_GB2312"/>
                <w:kern w:val="0"/>
                <w:sz w:val="24"/>
                <w:highlight w:val="none"/>
              </w:rPr>
            </w:pPr>
          </w:p>
        </w:tc>
        <w:tc>
          <w:tcPr>
            <w:tcW w:w="1545" w:type="dxa"/>
            <w:gridSpan w:val="2"/>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职称</w:t>
            </w:r>
          </w:p>
        </w:tc>
        <w:tc>
          <w:tcPr>
            <w:tcW w:w="1317" w:type="dxa"/>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年龄</w:t>
            </w:r>
          </w:p>
        </w:tc>
        <w:tc>
          <w:tcPr>
            <w:tcW w:w="1793" w:type="dxa"/>
            <w:vAlign w:val="center"/>
          </w:tcPr>
          <w:p>
            <w:pPr>
              <w:snapToGrid w:val="0"/>
              <w:ind w:left="-57" w:right="-57"/>
              <w:jc w:val="center"/>
              <w:rPr>
                <w:rFonts w:ascii="仿宋_GB2312" w:eastAsia="仿宋_GB2312"/>
                <w:kern w:val="0"/>
                <w:sz w:val="24"/>
                <w:highlight w:val="none"/>
              </w:rPr>
            </w:pPr>
          </w:p>
        </w:tc>
        <w:tc>
          <w:tcPr>
            <w:tcW w:w="985"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现任职</w:t>
            </w:r>
          </w:p>
        </w:tc>
        <w:tc>
          <w:tcPr>
            <w:tcW w:w="1597" w:type="dxa"/>
            <w:vAlign w:val="center"/>
          </w:tcPr>
          <w:p>
            <w:pPr>
              <w:snapToGrid w:val="0"/>
              <w:ind w:left="-57" w:right="-57"/>
              <w:jc w:val="center"/>
              <w:rPr>
                <w:rFonts w:ascii="仿宋_GB2312" w:eastAsia="仿宋_GB2312"/>
                <w:kern w:val="0"/>
                <w:sz w:val="24"/>
                <w:highlight w:val="none"/>
              </w:rPr>
            </w:pPr>
          </w:p>
        </w:tc>
        <w:tc>
          <w:tcPr>
            <w:tcW w:w="1545" w:type="dxa"/>
            <w:gridSpan w:val="2"/>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参加工作时间</w:t>
            </w:r>
          </w:p>
        </w:tc>
        <w:tc>
          <w:tcPr>
            <w:tcW w:w="1317" w:type="dxa"/>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942" w:type="dxa"/>
            <w:gridSpan w:val="2"/>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学历（毕业学校、时间、专业）</w:t>
            </w:r>
          </w:p>
        </w:tc>
        <w:tc>
          <w:tcPr>
            <w:tcW w:w="5444" w:type="dxa"/>
            <w:gridSpan w:val="5"/>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开始年份</w:t>
            </w:r>
          </w:p>
        </w:tc>
        <w:tc>
          <w:tcPr>
            <w:tcW w:w="4732" w:type="dxa"/>
            <w:gridSpan w:val="4"/>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参加过的主要项目名称</w:t>
            </w:r>
          </w:p>
        </w:tc>
        <w:tc>
          <w:tcPr>
            <w:tcW w:w="2505" w:type="dxa"/>
            <w:gridSpan w:val="2"/>
            <w:vAlign w:val="center"/>
          </w:tcPr>
          <w:p>
            <w:pPr>
              <w:snapToGrid w:val="0"/>
              <w:ind w:left="-57" w:right="-57"/>
              <w:jc w:val="center"/>
              <w:rPr>
                <w:rFonts w:ascii="仿宋_GB2312" w:eastAsia="仿宋_GB2312"/>
                <w:kern w:val="0"/>
                <w:sz w:val="24"/>
                <w:highlight w:val="none"/>
              </w:rPr>
            </w:pPr>
            <w:r>
              <w:rPr>
                <w:rFonts w:hint="eastAsia" w:ascii="仿宋_GB2312" w:eastAsia="仿宋_GB2312"/>
                <w:kern w:val="0"/>
                <w:sz w:val="24"/>
                <w:highlight w:val="none"/>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pPr>
              <w:snapToGrid w:val="0"/>
              <w:ind w:left="-57" w:right="-57"/>
              <w:jc w:val="center"/>
              <w:rPr>
                <w:rFonts w:ascii="仿宋_GB2312" w:eastAsia="仿宋_GB2312"/>
                <w:kern w:val="0"/>
                <w:sz w:val="24"/>
                <w:highlight w:val="none"/>
              </w:rPr>
            </w:pPr>
          </w:p>
        </w:tc>
        <w:tc>
          <w:tcPr>
            <w:tcW w:w="4732" w:type="dxa"/>
            <w:gridSpan w:val="4"/>
            <w:vAlign w:val="center"/>
          </w:tcPr>
          <w:p>
            <w:pPr>
              <w:snapToGrid w:val="0"/>
              <w:ind w:left="-57" w:right="-57"/>
              <w:jc w:val="center"/>
              <w:rPr>
                <w:rFonts w:ascii="仿宋_GB2312" w:eastAsia="仿宋_GB2312"/>
                <w:kern w:val="0"/>
                <w:sz w:val="24"/>
                <w:highlight w:val="none"/>
              </w:rPr>
            </w:pPr>
          </w:p>
        </w:tc>
        <w:tc>
          <w:tcPr>
            <w:tcW w:w="2505" w:type="dxa"/>
            <w:gridSpan w:val="2"/>
            <w:vAlign w:val="center"/>
          </w:tcPr>
          <w:p>
            <w:pPr>
              <w:snapToGrid w:val="0"/>
              <w:ind w:left="-57" w:right="-57"/>
              <w:jc w:val="center"/>
              <w:rPr>
                <w:rFonts w:ascii="仿宋_GB2312" w:eastAsia="仿宋_GB2312"/>
                <w:kern w:val="0"/>
                <w:sz w:val="24"/>
                <w:highlight w:val="none"/>
              </w:rPr>
            </w:pPr>
          </w:p>
        </w:tc>
      </w:tr>
    </w:tbl>
    <w:p>
      <w:pPr>
        <w:widowControl/>
        <w:jc w:val="left"/>
        <w:rPr>
          <w:rFonts w:ascii="仿宋_GB2312" w:eastAsia="仿宋_GB2312"/>
          <w:sz w:val="24"/>
          <w:highlight w:val="none"/>
        </w:rPr>
      </w:pPr>
      <w:r>
        <w:rPr>
          <w:rFonts w:hint="eastAsia" w:ascii="仿宋_GB2312" w:eastAsia="仿宋_GB2312"/>
          <w:sz w:val="24"/>
          <w:highlight w:val="none"/>
        </w:rPr>
        <w:t>注：在本表后应附其相关证件等。</w:t>
      </w:r>
    </w:p>
    <w:p>
      <w:pPr>
        <w:widowControl/>
        <w:jc w:val="left"/>
        <w:rPr>
          <w:rFonts w:ascii="仿宋_GB2312" w:eastAsia="仿宋_GB2312"/>
          <w:sz w:val="24"/>
          <w:highlight w:val="none"/>
        </w:rPr>
      </w:pP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参选机构（法人公章）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法定代表人(签字或盖章)：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授权代表(签字或盖章)：</w:t>
      </w:r>
    </w:p>
    <w:p>
      <w:pPr>
        <w:spacing w:line="600" w:lineRule="exact"/>
        <w:rPr>
          <w:rFonts w:ascii="仿宋" w:hAnsi="仿宋" w:eastAsia="仿宋"/>
          <w:sz w:val="24"/>
          <w:highlight w:val="none"/>
        </w:rPr>
      </w:pPr>
      <w:r>
        <w:rPr>
          <w:rFonts w:hint="eastAsia" w:ascii="仿宋_GB2312" w:hAnsi="仿宋" w:eastAsia="仿宋_GB2312"/>
          <w:sz w:val="32"/>
          <w:szCs w:val="32"/>
          <w:highlight w:val="none"/>
        </w:rPr>
        <w:t>日    期：</w:t>
      </w:r>
      <w:r>
        <w:rPr>
          <w:rFonts w:ascii="黑体" w:eastAsia="黑体"/>
          <w:sz w:val="32"/>
          <w:szCs w:val="32"/>
          <w:highlight w:val="none"/>
        </w:rPr>
        <w:br w:type="page"/>
      </w:r>
    </w:p>
    <w:p>
      <w:pPr>
        <w:pStyle w:val="5"/>
        <w:rPr>
          <w:rFonts w:ascii="黑体" w:hAnsi="黑体" w:cs="黑体"/>
          <w:szCs w:val="32"/>
          <w:highlight w:val="none"/>
        </w:rPr>
      </w:pPr>
      <w:bookmarkStart w:id="88" w:name="_Toc42174559"/>
      <w:bookmarkStart w:id="89" w:name="_Toc8828"/>
      <w:bookmarkStart w:id="90" w:name="_Toc1300683"/>
      <w:bookmarkStart w:id="91" w:name="_Toc21540"/>
      <w:bookmarkStart w:id="92" w:name="_Toc21284"/>
      <w:bookmarkStart w:id="93" w:name="_Toc1300632"/>
      <w:bookmarkStart w:id="94" w:name="_Toc22939"/>
      <w:bookmarkStart w:id="95" w:name="_Toc27703"/>
      <w:bookmarkStart w:id="96" w:name="_Toc26815"/>
      <w:bookmarkStart w:id="97" w:name="_Toc8824"/>
      <w:bookmarkStart w:id="98" w:name="_Toc29676"/>
      <w:r>
        <w:rPr>
          <w:rFonts w:hint="eastAsia" w:ascii="黑体" w:hAnsi="黑体" w:eastAsia="黑体" w:cs="黑体"/>
          <w:bCs/>
          <w:sz w:val="32"/>
          <w:szCs w:val="32"/>
          <w:highlight w:val="none"/>
        </w:rPr>
        <w:t>附件四：比选报价表</w:t>
      </w:r>
      <w:bookmarkEnd w:id="74"/>
      <w:bookmarkEnd w:id="88"/>
      <w:bookmarkEnd w:id="89"/>
      <w:bookmarkEnd w:id="90"/>
      <w:bookmarkEnd w:id="91"/>
      <w:bookmarkEnd w:id="92"/>
      <w:bookmarkEnd w:id="93"/>
      <w:bookmarkEnd w:id="94"/>
      <w:bookmarkEnd w:id="95"/>
      <w:bookmarkEnd w:id="96"/>
      <w:bookmarkEnd w:id="97"/>
      <w:bookmarkEnd w:id="98"/>
    </w:p>
    <w:p>
      <w:pPr>
        <w:jc w:val="center"/>
        <w:rPr>
          <w:rFonts w:ascii="方正小标宋_GBK" w:hAnsi="仿宋" w:eastAsia="方正小标宋_GBK"/>
          <w:b/>
          <w:sz w:val="44"/>
          <w:szCs w:val="44"/>
          <w:highlight w:val="none"/>
        </w:rPr>
      </w:pPr>
      <w:r>
        <w:rPr>
          <w:rFonts w:hint="eastAsia" w:ascii="方正小标宋_GBK" w:hAnsi="仿宋" w:eastAsia="方正小标宋_GBK"/>
          <w:b/>
          <w:sz w:val="44"/>
          <w:szCs w:val="44"/>
          <w:highlight w:val="none"/>
        </w:rPr>
        <w:t>比选报价表</w:t>
      </w:r>
    </w:p>
    <w:p>
      <w:pPr>
        <w:spacing w:before="312" w:beforeLines="100" w:line="360" w:lineRule="exact"/>
        <w:rPr>
          <w:rFonts w:ascii="方正仿宋_GBK" w:hAnsi="仿宋" w:eastAsia="方正仿宋_GBK"/>
          <w:sz w:val="30"/>
          <w:szCs w:val="30"/>
          <w:highlight w:val="none"/>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4124"/>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16" w:type="dxa"/>
          </w:tcPr>
          <w:p>
            <w:pPr>
              <w:spacing w:before="312" w:beforeLines="100" w:line="360" w:lineRule="exact"/>
              <w:rPr>
                <w:rFonts w:ascii="仿宋_GB2312" w:hAnsi="仿宋" w:eastAsia="仿宋_GB2312"/>
                <w:sz w:val="32"/>
                <w:szCs w:val="32"/>
                <w:highlight w:val="none"/>
              </w:rPr>
            </w:pPr>
            <w:r>
              <w:rPr>
                <w:rFonts w:hint="eastAsia" w:ascii="仿宋_GB2312" w:hAnsi="仿宋" w:eastAsia="仿宋_GB2312"/>
                <w:sz w:val="32"/>
                <w:szCs w:val="32"/>
                <w:highlight w:val="none"/>
              </w:rPr>
              <w:t>序号</w:t>
            </w:r>
          </w:p>
        </w:tc>
        <w:tc>
          <w:tcPr>
            <w:tcW w:w="4124"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项目名称</w:t>
            </w:r>
          </w:p>
        </w:tc>
        <w:tc>
          <w:tcPr>
            <w:tcW w:w="2782" w:type="dxa"/>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比选报价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616" w:type="dxa"/>
            <w:vAlign w:val="center"/>
          </w:tcPr>
          <w:p>
            <w:pPr>
              <w:spacing w:before="312" w:beforeLines="100" w:line="360" w:lineRule="exact"/>
              <w:jc w:val="center"/>
              <w:rPr>
                <w:rFonts w:ascii="仿宋_GB2312" w:hAnsi="仿宋" w:eastAsia="仿宋_GB2312"/>
                <w:sz w:val="32"/>
                <w:szCs w:val="32"/>
                <w:highlight w:val="none"/>
              </w:rPr>
            </w:pPr>
            <w:r>
              <w:rPr>
                <w:rFonts w:hint="eastAsia" w:ascii="仿宋_GB2312" w:hAnsi="仿宋" w:eastAsia="仿宋_GB2312"/>
                <w:sz w:val="32"/>
                <w:szCs w:val="32"/>
                <w:highlight w:val="none"/>
              </w:rPr>
              <w:t>1</w:t>
            </w:r>
          </w:p>
        </w:tc>
        <w:tc>
          <w:tcPr>
            <w:tcW w:w="4124" w:type="dxa"/>
            <w:vAlign w:val="center"/>
          </w:tcPr>
          <w:p>
            <w:pPr>
              <w:spacing w:before="312" w:beforeLines="100" w:line="360" w:lineRule="exact"/>
              <w:jc w:val="center"/>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某现代物流基地项目策划方案咨询服务</w:t>
            </w:r>
          </w:p>
        </w:tc>
        <w:tc>
          <w:tcPr>
            <w:tcW w:w="2782" w:type="dxa"/>
            <w:vAlign w:val="center"/>
          </w:tcPr>
          <w:p>
            <w:pPr>
              <w:spacing w:before="312" w:beforeLines="100" w:line="360" w:lineRule="exact"/>
              <w:jc w:val="center"/>
              <w:rPr>
                <w:rFonts w:ascii="仿宋_GB2312" w:hAnsi="仿宋" w:eastAsia="仿宋_GB2312"/>
                <w:sz w:val="32"/>
                <w:szCs w:val="32"/>
                <w:highlight w:val="none"/>
              </w:rPr>
            </w:pPr>
          </w:p>
        </w:tc>
      </w:tr>
    </w:tbl>
    <w:p>
      <w:pPr>
        <w:spacing w:line="360" w:lineRule="auto"/>
        <w:rPr>
          <w:rFonts w:hint="eastAsia" w:ascii="仿宋_GB2312" w:hAnsi="仿宋" w:eastAsia="仿宋_GB2312"/>
          <w:sz w:val="32"/>
          <w:szCs w:val="32"/>
          <w:highlight w:val="none"/>
        </w:rPr>
      </w:pPr>
    </w:p>
    <w:p>
      <w:pPr>
        <w:spacing w:line="360" w:lineRule="auto"/>
        <w:rPr>
          <w:rFonts w:hint="eastAsia" w:ascii="仿宋_GB2312" w:hAnsi="仿宋" w:eastAsia="仿宋_GB2312"/>
          <w:sz w:val="32"/>
          <w:szCs w:val="32"/>
          <w:highlight w:val="none"/>
        </w:rPr>
      </w:pP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参选机构（法人公章）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法定代表人(签字或盖章)：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授权代表(签字或盖章)：</w:t>
      </w: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                            日    期：</w:t>
      </w:r>
    </w:p>
    <w:p>
      <w:pPr>
        <w:widowControl/>
        <w:jc w:val="left"/>
        <w:rPr>
          <w:rFonts w:ascii="黑体" w:hAnsi="黑体" w:eastAsia="黑体"/>
          <w:sz w:val="30"/>
          <w:szCs w:val="30"/>
          <w:highlight w:val="none"/>
        </w:rPr>
      </w:pPr>
      <w:r>
        <w:rPr>
          <w:rFonts w:ascii="黑体" w:hAnsi="黑体" w:eastAsia="黑体"/>
          <w:sz w:val="30"/>
          <w:szCs w:val="30"/>
          <w:highlight w:val="none"/>
        </w:rPr>
        <w:br w:type="page"/>
      </w:r>
    </w:p>
    <w:p>
      <w:pPr>
        <w:pStyle w:val="5"/>
        <w:rPr>
          <w:rFonts w:ascii="黑体" w:hAnsi="黑体" w:cs="黑体"/>
          <w:szCs w:val="32"/>
          <w:highlight w:val="none"/>
        </w:rPr>
      </w:pPr>
      <w:bookmarkStart w:id="99" w:name="_Toc370389416"/>
      <w:bookmarkStart w:id="100" w:name="_Toc28437"/>
      <w:bookmarkStart w:id="101" w:name="_Toc1300684"/>
      <w:bookmarkStart w:id="102" w:name="_Toc31105"/>
      <w:bookmarkStart w:id="103" w:name="_Toc11272"/>
      <w:bookmarkStart w:id="104" w:name="_Toc1300633"/>
      <w:bookmarkStart w:id="105" w:name="_Toc12489"/>
      <w:bookmarkStart w:id="106" w:name="_Toc42174560"/>
      <w:bookmarkStart w:id="107" w:name="_Toc271"/>
      <w:bookmarkStart w:id="108" w:name="_Toc23670"/>
      <w:bookmarkStart w:id="109" w:name="_Toc850"/>
      <w:bookmarkStart w:id="110" w:name="_Toc25112"/>
      <w:r>
        <w:rPr>
          <w:rFonts w:hint="eastAsia" w:ascii="黑体" w:hAnsi="黑体" w:eastAsia="黑体" w:cs="黑体"/>
          <w:bCs/>
          <w:sz w:val="32"/>
          <w:szCs w:val="32"/>
          <w:highlight w:val="none"/>
        </w:rPr>
        <w:t>附件</w:t>
      </w:r>
      <w:bookmarkEnd w:id="99"/>
      <w:r>
        <w:rPr>
          <w:rFonts w:hint="eastAsia" w:ascii="黑体" w:hAnsi="黑体" w:eastAsia="黑体" w:cs="黑体"/>
          <w:bCs/>
          <w:sz w:val="32"/>
          <w:szCs w:val="32"/>
          <w:highlight w:val="none"/>
        </w:rPr>
        <w:t>五：承诺书</w:t>
      </w:r>
      <w:bookmarkEnd w:id="100"/>
      <w:bookmarkEnd w:id="101"/>
      <w:bookmarkEnd w:id="102"/>
      <w:bookmarkEnd w:id="103"/>
      <w:bookmarkEnd w:id="104"/>
      <w:bookmarkEnd w:id="105"/>
      <w:bookmarkEnd w:id="106"/>
      <w:bookmarkEnd w:id="107"/>
      <w:bookmarkEnd w:id="108"/>
      <w:bookmarkEnd w:id="109"/>
      <w:bookmarkEnd w:id="110"/>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承 诺 书</w:t>
      </w:r>
    </w:p>
    <w:p>
      <w:pPr>
        <w:spacing w:line="360" w:lineRule="auto"/>
        <w:jc w:val="center"/>
        <w:rPr>
          <w:rFonts w:ascii="宋体" w:hAnsi="宋体"/>
          <w:b/>
          <w:sz w:val="44"/>
          <w:szCs w:val="21"/>
          <w:highlight w:val="none"/>
        </w:rPr>
      </w:pPr>
    </w:p>
    <w:p>
      <w:pPr>
        <w:spacing w:line="360" w:lineRule="auto"/>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四川交投物流有限公司</w:t>
      </w:r>
      <w:r>
        <w:rPr>
          <w:rFonts w:hint="eastAsia" w:ascii="仿宋_GB2312" w:hAnsi="仿宋" w:eastAsia="仿宋_GB2312"/>
          <w:sz w:val="32"/>
          <w:szCs w:val="32"/>
          <w:highlight w:val="none"/>
        </w:rPr>
        <w:t>：</w:t>
      </w:r>
    </w:p>
    <w:p>
      <w:pPr>
        <w:spacing w:line="360" w:lineRule="auto"/>
        <w:ind w:firstLine="640" w:firstLineChars="200"/>
        <w:jc w:val="both"/>
        <w:rPr>
          <w:rFonts w:ascii="仿宋_GB2312" w:hAnsi="仿宋" w:eastAsia="仿宋_GB2312"/>
          <w:sz w:val="32"/>
          <w:szCs w:val="32"/>
          <w:highlight w:val="none"/>
        </w:rPr>
      </w:pPr>
      <w:r>
        <w:rPr>
          <w:rFonts w:hint="eastAsia" w:ascii="仿宋_GB2312" w:hAnsi="仿宋" w:eastAsia="仿宋_GB2312"/>
          <w:sz w:val="32"/>
          <w:szCs w:val="32"/>
          <w:highlight w:val="none"/>
        </w:rPr>
        <w:t>本单位自愿参加</w:t>
      </w:r>
      <w:r>
        <w:rPr>
          <w:rFonts w:hint="eastAsia" w:ascii="仿宋_GB2312" w:hAnsi="仿宋" w:eastAsia="仿宋_GB2312"/>
          <w:sz w:val="32"/>
          <w:szCs w:val="32"/>
          <w:highlight w:val="none"/>
          <w:lang w:eastAsia="zh-CN"/>
        </w:rPr>
        <w:t>四川交投物流有限公司</w:t>
      </w:r>
      <w:r>
        <w:rPr>
          <w:rFonts w:hint="eastAsia" w:ascii="仿宋_GB2312" w:hAnsi="仿宋" w:eastAsia="仿宋_GB2312"/>
          <w:sz w:val="32"/>
          <w:szCs w:val="32"/>
          <w:highlight w:val="none"/>
          <w:lang w:val="en-US" w:eastAsia="zh-CN"/>
        </w:rPr>
        <w:t>某现代物流基地项目策划方案咨询服务</w:t>
      </w:r>
      <w:r>
        <w:rPr>
          <w:rFonts w:hint="eastAsia" w:ascii="仿宋_GB2312" w:hAnsi="仿宋" w:eastAsia="仿宋_GB2312"/>
          <w:sz w:val="32"/>
          <w:szCs w:val="32"/>
          <w:highlight w:val="none"/>
        </w:rPr>
        <w:t>中介机构选聘，并保证选聘文件中所列举报价文件及相关资料和公司基本情况资料是真实的、有效的、合法的。为此,本公司承诺如下：</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1.同意选聘文件中的有关规定。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2.同意提供按照贵方要求的与选聘有关的一切数据、情况和资料等。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3.本单位如中选，保证按照选聘文件的承诺与贵方签订服务合同。</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4.无论本单位中选或者落选，均保证不向任何第三方泄露本次选聘的相关信息，不向任何第三方披露获得的或收到的任何文件资料及非公开信息。</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5.本单位参与本次选聘申请，保证不存在以下情形：</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（1）提供虚假材料谋取中选；</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（2）采取不正当手段诋毁、排挤其他选聘申请人；</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（3）与其它选聘人申请人恶意串通；</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（4）向选聘人行贿或者提供其他不正当利益；</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（5）拒绝有关部门监督检查或提供虚假情况；</w:t>
      </w:r>
    </w:p>
    <w:p>
      <w:pPr>
        <w:spacing w:line="360" w:lineRule="auto"/>
        <w:ind w:firstLine="640" w:firstLineChars="200"/>
        <w:jc w:val="left"/>
        <w:rPr>
          <w:rFonts w:ascii="仿宋_GB2312" w:hAnsi="仿宋" w:eastAsia="仿宋_GB2312"/>
          <w:sz w:val="32"/>
          <w:szCs w:val="32"/>
          <w:highlight w:val="none"/>
        </w:rPr>
      </w:pPr>
      <w:r>
        <w:rPr>
          <w:rFonts w:hint="eastAsia" w:ascii="仿宋_GB2312" w:hAnsi="仿宋" w:eastAsia="仿宋_GB2312"/>
          <w:sz w:val="32"/>
          <w:szCs w:val="32"/>
          <w:highlight w:val="none"/>
        </w:rPr>
        <w:t>（6）有其他违规行为。</w:t>
      </w:r>
    </w:p>
    <w:p>
      <w:pPr>
        <w:spacing w:line="360" w:lineRule="auto"/>
        <w:ind w:firstLine="640" w:firstLineChars="200"/>
        <w:jc w:val="left"/>
        <w:rPr>
          <w:rFonts w:ascii="仿宋_GB2312" w:hAnsi="仿宋" w:eastAsia="仿宋_GB2312"/>
          <w:sz w:val="32"/>
          <w:szCs w:val="32"/>
          <w:highlight w:val="none"/>
        </w:rPr>
      </w:pPr>
    </w:p>
    <w:p>
      <w:pPr>
        <w:spacing w:line="360" w:lineRule="auto"/>
        <w:ind w:right="-817" w:rightChars="-389"/>
        <w:rPr>
          <w:rFonts w:ascii="仿宋_GB2312" w:hAnsi="仿宋" w:eastAsia="仿宋_GB2312"/>
          <w:sz w:val="32"/>
          <w:szCs w:val="32"/>
          <w:highlight w:val="none"/>
        </w:rPr>
      </w:pPr>
      <w:r>
        <w:rPr>
          <w:rFonts w:hint="eastAsia" w:ascii="仿宋_GB2312" w:hAnsi="仿宋" w:eastAsia="仿宋_GB2312"/>
          <w:sz w:val="32"/>
          <w:szCs w:val="32"/>
          <w:highlight w:val="none"/>
        </w:rPr>
        <w:t>选聘申请人名称（盖章）：</w:t>
      </w:r>
    </w:p>
    <w:p>
      <w:pPr>
        <w:spacing w:line="360" w:lineRule="auto"/>
        <w:ind w:right="-817" w:rightChars="-389"/>
        <w:rPr>
          <w:rFonts w:ascii="仿宋_GB2312" w:hAnsi="仿宋" w:eastAsia="仿宋_GB2312"/>
          <w:sz w:val="32"/>
          <w:szCs w:val="32"/>
          <w:highlight w:val="none"/>
        </w:rPr>
      </w:pPr>
      <w:r>
        <w:rPr>
          <w:rFonts w:hint="eastAsia" w:ascii="仿宋_GB2312" w:hAnsi="仿宋" w:eastAsia="仿宋_GB2312"/>
          <w:sz w:val="32"/>
          <w:szCs w:val="32"/>
          <w:highlight w:val="none"/>
        </w:rPr>
        <w:t>法定代表人或授权委托人（签字或盖章）：</w:t>
      </w:r>
    </w:p>
    <w:p>
      <w:pPr>
        <w:spacing w:line="360" w:lineRule="auto"/>
        <w:ind w:left="-21" w:leftChars="-10" w:right="-817" w:rightChars="-389" w:firstLine="6294" w:firstLineChars="1967"/>
        <w:rPr>
          <w:rFonts w:ascii="仿宋_GB2312" w:hAnsi="仿宋" w:eastAsia="仿宋_GB2312"/>
          <w:sz w:val="32"/>
          <w:szCs w:val="32"/>
          <w:highlight w:val="none"/>
        </w:rPr>
      </w:pPr>
      <w:r>
        <w:rPr>
          <w:rFonts w:hint="eastAsia" w:ascii="仿宋_GB2312" w:hAnsi="仿宋" w:eastAsia="仿宋_GB2312"/>
          <w:sz w:val="32"/>
          <w:szCs w:val="32"/>
          <w:highlight w:val="none"/>
        </w:rPr>
        <w:t>年   月   日</w:t>
      </w:r>
    </w:p>
    <w:p>
      <w:pPr>
        <w:keepNext/>
        <w:keepLines/>
        <w:tabs>
          <w:tab w:val="left" w:pos="432"/>
          <w:tab w:val="left" w:pos="576"/>
        </w:tabs>
        <w:spacing w:before="260" w:after="260" w:line="360" w:lineRule="auto"/>
        <w:outlineLvl w:val="1"/>
        <w:rPr>
          <w:rFonts w:ascii="宋体" w:hAnsi="宋体" w:eastAsia="黑体"/>
          <w:bCs/>
          <w:sz w:val="28"/>
          <w:szCs w:val="21"/>
          <w:highlight w:val="none"/>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bookmarkStart w:id="111" w:name="_Toc370389417"/>
    </w:p>
    <w:bookmarkEnd w:id="111"/>
    <w:p>
      <w:pPr>
        <w:pStyle w:val="5"/>
        <w:rPr>
          <w:rFonts w:ascii="黑体" w:hAnsi="黑体" w:cs="黑体"/>
          <w:szCs w:val="32"/>
          <w:highlight w:val="none"/>
        </w:rPr>
      </w:pPr>
      <w:bookmarkStart w:id="112" w:name="_Toc23858"/>
      <w:bookmarkStart w:id="113" w:name="_Toc28932"/>
      <w:bookmarkStart w:id="114" w:name="_Toc4781"/>
      <w:bookmarkStart w:id="115" w:name="_Toc23787"/>
      <w:bookmarkStart w:id="116" w:name="_Toc2667"/>
      <w:bookmarkStart w:id="117" w:name="_Toc1023"/>
      <w:bookmarkStart w:id="118" w:name="_Toc32462"/>
      <w:bookmarkStart w:id="119" w:name="_Toc1300685"/>
      <w:bookmarkStart w:id="120" w:name="_Toc18244"/>
      <w:bookmarkStart w:id="121" w:name="_Toc1300634"/>
      <w:bookmarkStart w:id="122" w:name="_Toc42174561"/>
      <w:r>
        <w:rPr>
          <w:rFonts w:hint="eastAsia" w:ascii="黑体" w:hAnsi="黑体" w:eastAsia="黑体" w:cs="黑体"/>
          <w:bCs/>
          <w:sz w:val="32"/>
          <w:szCs w:val="32"/>
          <w:highlight w:val="none"/>
        </w:rPr>
        <w:t>附件六：保密承诺函</w:t>
      </w:r>
      <w:bookmarkEnd w:id="112"/>
      <w:bookmarkEnd w:id="113"/>
      <w:bookmarkEnd w:id="114"/>
      <w:bookmarkEnd w:id="115"/>
      <w:bookmarkEnd w:id="116"/>
      <w:bookmarkEnd w:id="117"/>
      <w:bookmarkEnd w:id="118"/>
      <w:bookmarkEnd w:id="119"/>
      <w:bookmarkEnd w:id="120"/>
      <w:bookmarkEnd w:id="121"/>
      <w:bookmarkEnd w:id="122"/>
      <w:r>
        <w:rPr>
          <w:rFonts w:ascii="黑体" w:hAnsi="黑体" w:eastAsia="黑体" w:cs="黑体"/>
          <w:bCs/>
          <w:sz w:val="32"/>
          <w:szCs w:val="32"/>
          <w:highlight w:val="none"/>
        </w:rPr>
        <w:t xml:space="preserve"> </w:t>
      </w:r>
    </w:p>
    <w:p>
      <w:pPr>
        <w:spacing w:line="360" w:lineRule="auto"/>
        <w:jc w:val="center"/>
        <w:rPr>
          <w:rFonts w:ascii="方正小标宋_GBK" w:hAnsi="仿宋" w:eastAsia="方正小标宋_GBK"/>
          <w:b/>
          <w:bCs/>
          <w:sz w:val="44"/>
          <w:szCs w:val="44"/>
          <w:highlight w:val="none"/>
        </w:rPr>
      </w:pPr>
      <w:r>
        <w:rPr>
          <w:rFonts w:hint="eastAsia" w:ascii="方正小标宋_GBK" w:hAnsi="仿宋" w:eastAsia="方正小标宋_GBK"/>
          <w:b/>
          <w:bCs/>
          <w:sz w:val="44"/>
          <w:szCs w:val="44"/>
          <w:highlight w:val="none"/>
        </w:rPr>
        <w:t>保密承诺函</w:t>
      </w:r>
    </w:p>
    <w:p>
      <w:pPr>
        <w:spacing w:line="360" w:lineRule="auto"/>
        <w:rPr>
          <w:sz w:val="24"/>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承诺背景：信息接受方希望从信息披露方获取保密信息，信息接受方承诺根据本函的条款对信息接受方提供信息保密，保密期限自信息接受方签署本函之日起两年。</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信息披露方：</w:t>
      </w:r>
      <w:r>
        <w:rPr>
          <w:rFonts w:hint="eastAsia" w:ascii="仿宋_GB2312" w:hAnsi="仿宋" w:eastAsia="仿宋_GB2312"/>
          <w:sz w:val="32"/>
          <w:szCs w:val="32"/>
          <w:highlight w:val="none"/>
          <w:lang w:eastAsia="zh-CN"/>
        </w:rPr>
        <w:t>四川交投物流有限公司</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住所：四川省成都市锦江区三色路163号银海芯座B栋22层</w:t>
      </w:r>
    </w:p>
    <w:p>
      <w:pPr>
        <w:spacing w:line="360" w:lineRule="auto"/>
        <w:ind w:firstLine="640" w:firstLineChars="200"/>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信息接受方：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住      所：   </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法定代表人：</w:t>
      </w:r>
    </w:p>
    <w:p>
      <w:pPr>
        <w:spacing w:line="360" w:lineRule="auto"/>
        <w:rPr>
          <w:rFonts w:ascii="仿宋_GB2312" w:hAnsi="仿宋" w:eastAsia="仿宋_GB2312"/>
          <w:sz w:val="32"/>
          <w:szCs w:val="32"/>
          <w:highlight w:val="none"/>
        </w:rPr>
      </w:pP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  定义和解释</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1.1  定义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以下术语应含有下列含义,除非另有规定:</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保密信息是指:</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所有由信息披露方提供给信息接受方、其关联方或代表的关于项目目的的口头或书面通信、文件和其他信息(无论是电脑磁盘、可视文件或其他形式)，包括但不限于：(i)与信息披露方和/或项目目的有关的所有资料；(ii)关于涉及项目目的的任何谈判的存在、性质或进度的所有资料;(iii) 信息接受方根据前述资料注解、准备或产生的任何其他文件和资料，或者含有或反映该等资料的文件和资料。</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(b)可能或已经将保密信息提供给信息披露方、其关联方或代表的事实。</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关联方，指直接或(通过一个或多个中间方)间接控制一方，被一方控制或与一方在共同控制之下的人或实体,和关于项目目的而与一方签有协议的任何人或实体。</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代表，指一方或其关联方的任何董事、高级管理人员、员工、融资者或法律顾问、财务顾问、独立审计师或任何其他代理人。</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1.2  解释</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除非有相反的意思表示,本函中:</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（ａ）文件包括任何草图、说明、材料、记录及其他可以储存或复制保密信息的方式；</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（b）任何事物(包括任何权利)应包括其中的任何一部分;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（c）一组人或事物指两个或多个人或事物的集合体或其中的任意一个；</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（d）词语“包括”并不包含“仅限于”的含义;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（e）同意/许可指事先书面同意或许可；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ascii="仿宋_GB2312" w:hAnsi="仿宋" w:eastAsia="仿宋_GB2312"/>
          <w:sz w:val="32"/>
          <w:szCs w:val="32"/>
          <w:highlight w:val="none"/>
        </w:rPr>
        <w:t>f</w:t>
      </w:r>
      <w:r>
        <w:rPr>
          <w:rFonts w:hint="eastAsia" w:ascii="仿宋_GB2312" w:hAnsi="仿宋" w:eastAsia="仿宋_GB2312"/>
          <w:sz w:val="32"/>
          <w:szCs w:val="32"/>
          <w:highlight w:val="none"/>
        </w:rPr>
        <w:t>）控制是指如果一个实体在另一实体中直接或间接拥有的股份数量（或股权比例）代表了后者百分之五十(50%)或以上的投票权、或使前者可享有后者百分之五十(50%)或以上的收入，或使前者在后者清算时可以获得后者百分之五十(50%)或以上的资产，后者应被视为被前者所控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  保密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2.1  保密信息处理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未经信息披露方的许可，信息接受方不得:</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（a）披露或公布保密信息;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（b）除为项目目的外,以任何形式复制包含了、基于或使用了保密信息的任何文件或记录的任何部分。</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2.2  保密信息所有权</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所有向信息接受方披露的保密信息均归信息披露方所有。</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  允许的使用和披露</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3.1  为项目目的而使用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信息接受方及其关联方只能为项目目的而使用保密信息。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3.2  在文件中加入保密信息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信息披露方、其关联方可以为项目目的而准备文件中加入部分保密信息。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3.3  披露</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信息接受方可以为项目目的向其关联方和其代表披露保密信息，在作披露前，信息接受方应当确保：</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（a）其关联方或代表为项目目的而有获取保密信息的特定需要;</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（b）已经告知并促使其关联方或代表承担对信息披露方的保密责任。</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  限制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4.1  本函的规定不适用于下述的保密信息: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(ａ)已存在公共领域的信息，但因信息接受方违反本函而存在于公共领域的信息除外;</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（b）信息接受方在保密信息披露时已经获悉的信息,但信息披露方此前向其披露的保密信息除外，或者信息接受方知悉任何其他人违反保密义务而造成信息接受方知晓该保密信息的除外；</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（c）信息接受方以非保密形式从第三方获得的信息，但信息接受方应当提供第三方证明文件证明其与第三方未签署过任何保密协议;</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（d）应法律要求或任何法院、仲裁庭、政府、管理机构或股票交易市场的要求而披露的信息，但信息接受方应当提供政府机关或管理机构要求披露的相关文件；</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（e）信息接受方、其关联方或代表,在没有依赖保密信息之情况下,所独立开发的信息，但信息接受方应当提供内部资料证明该等信息是其独立开发的。</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4.2  如果信息接受方由于任何法律要求或任何法院、仲裁庭、政府、管理机构或股票交易市场的要求或请求，需要披露任何保密信息，信息接受方应：(i)在合理可行的情况下尽快书面通知信息披露方此情况和被要求或被请求披露的范围；和(ii)在合理可行的程度上与信息披露方合作，在披露之时或以后保护被披露资料的保密性。</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  归还保密信息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5.1  归还或销毁</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应信息披露方的要求，信息接受方应当并促使其关联方或代表:</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(ａ)向信息披露方归还或销毁所有包含保密信息的文件、所有第3.2条中规定的文件以及前述文件的所有副本;</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（b）从电子存储设备中删除所有的保密信息,包括与其他任何信息结合在一起的保密信息。</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5.2  不解除</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信息披露方根据第5.1而采取的任何行动均不能免除信息接受方及其关联方和代表在本函项下的义务。</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  其他</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6.1  适用法律</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函应根据中华人民共和国法律解释并受其管辖。因本函而产生的主张或争议应提交成都仲裁委员会根据其现时有效的仲裁规则在成都通过仲裁解决。仲裁裁决是终局的，对双方均有约束力，并可在任何有管辖权的法院执行该仲裁裁决。</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6.2  修订</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本函一经信息接收方盖章发出即不可撤销、不可修改。</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6.3  救济</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信息接收方特此承诺并同意，若信息接收方违反本函，则信息披露方有权根据适用法律要求实际履行、禁令性救济或其他经济救济，作为对任何此类违反承诺行为的补救。</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6.4  生效</w:t>
      </w:r>
    </w:p>
    <w:p>
      <w:pPr>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本函一经信息接收方盖章即生效。</w:t>
      </w:r>
    </w:p>
    <w:p>
      <w:pPr>
        <w:spacing w:line="360" w:lineRule="auto"/>
        <w:rPr>
          <w:rFonts w:ascii="仿宋_GB2312" w:hAnsi="仿宋" w:eastAsia="仿宋_GB2312"/>
          <w:sz w:val="32"/>
          <w:szCs w:val="32"/>
          <w:highlight w:val="none"/>
        </w:rPr>
      </w:pPr>
    </w:p>
    <w:p>
      <w:pPr>
        <w:spacing w:line="360" w:lineRule="auto"/>
        <w:rPr>
          <w:rFonts w:ascii="仿宋_GB2312" w:hAnsi="仿宋" w:eastAsia="仿宋_GB2312"/>
          <w:sz w:val="32"/>
          <w:szCs w:val="32"/>
          <w:highlight w:val="none"/>
        </w:rPr>
      </w:pPr>
      <w:r>
        <w:rPr>
          <w:rFonts w:hint="eastAsia" w:ascii="仿宋_GB2312" w:hAnsi="仿宋" w:eastAsia="仿宋_GB2312"/>
          <w:sz w:val="32"/>
          <w:szCs w:val="32"/>
          <w:highlight w:val="none"/>
        </w:rPr>
        <w:t>信息接收方：（公章）</w:t>
      </w:r>
    </w:p>
    <w:p>
      <w:pPr>
        <w:spacing w:line="360" w:lineRule="auto"/>
        <w:rPr>
          <w:highlight w:val="none"/>
        </w:rPr>
      </w:pPr>
      <w:r>
        <w:rPr>
          <w:rFonts w:hint="eastAsia" w:ascii="仿宋_GB2312" w:hAnsi="仿宋" w:eastAsia="仿宋_GB2312"/>
          <w:sz w:val="32"/>
          <w:szCs w:val="32"/>
          <w:highlight w:val="none"/>
        </w:rPr>
        <w:t>签署时间:202</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年  月  日</w:t>
      </w:r>
      <w:bookmarkStart w:id="123" w:name="_Toc19693"/>
      <w:bookmarkStart w:id="124" w:name="_Toc18258"/>
      <w:bookmarkStart w:id="125" w:name="_Toc1300635"/>
      <w:bookmarkStart w:id="126" w:name="_Toc448516849"/>
      <w:bookmarkStart w:id="127" w:name="_Toc27093"/>
      <w:bookmarkStart w:id="128" w:name="_Toc1300686"/>
      <w:bookmarkStart w:id="129" w:name="_Toc4301"/>
    </w:p>
    <w:p>
      <w:pPr>
        <w:rPr>
          <w:rFonts w:ascii="Arial" w:eastAsia="黑体"/>
          <w:sz w:val="32"/>
          <w:highlight w:val="none"/>
        </w:rPr>
      </w:pPr>
    </w:p>
    <w:p>
      <w:pPr>
        <w:pStyle w:val="2"/>
        <w:rPr>
          <w:rFonts w:hint="eastAsia" w:ascii="Arial" w:eastAsia="黑体"/>
          <w:sz w:val="32"/>
          <w:highlight w:val="none"/>
        </w:rPr>
      </w:pPr>
    </w:p>
    <w:p>
      <w:pPr>
        <w:pStyle w:val="2"/>
        <w:rPr>
          <w:highlight w:val="none"/>
        </w:rPr>
      </w:pPr>
    </w:p>
    <w:p>
      <w:pPr>
        <w:pStyle w:val="4"/>
        <w:rPr>
          <w:highlight w:val="none"/>
        </w:rPr>
      </w:pPr>
    </w:p>
    <w:p>
      <w:pPr>
        <w:pStyle w:val="4"/>
        <w:jc w:val="both"/>
        <w:rPr>
          <w:highlight w:val="none"/>
        </w:rPr>
      </w:pPr>
    </w:p>
    <w:p>
      <w:pPr>
        <w:pStyle w:val="5"/>
        <w:rPr>
          <w:rFonts w:ascii="黑体" w:hAnsi="黑体" w:cs="黑体"/>
          <w:szCs w:val="32"/>
          <w:highlight w:val="none"/>
        </w:rPr>
      </w:pPr>
      <w:bookmarkStart w:id="130" w:name="_Toc17318"/>
      <w:bookmarkStart w:id="131" w:name="_Toc22002"/>
      <w:bookmarkStart w:id="132" w:name="_Toc27605"/>
      <w:bookmarkStart w:id="133" w:name="_Toc42174562"/>
      <w:bookmarkStart w:id="134" w:name="_Toc19201"/>
      <w:r>
        <w:rPr>
          <w:rFonts w:hint="eastAsia" w:ascii="黑体" w:hAnsi="黑体" w:eastAsia="黑体" w:cs="黑体"/>
          <w:bCs/>
          <w:sz w:val="32"/>
          <w:szCs w:val="32"/>
          <w:highlight w:val="none"/>
        </w:rPr>
        <w:t>附件七：评审标准</w:t>
      </w:r>
      <w:bookmarkEnd w:id="123"/>
      <w:bookmarkEnd w:id="124"/>
      <w:bookmarkEnd w:id="125"/>
      <w:bookmarkEnd w:id="126"/>
      <w:bookmarkEnd w:id="127"/>
      <w:bookmarkEnd w:id="128"/>
      <w:bookmarkEnd w:id="129"/>
      <w:bookmarkEnd w:id="130"/>
      <w:bookmarkEnd w:id="131"/>
      <w:bookmarkEnd w:id="132"/>
      <w:bookmarkEnd w:id="133"/>
      <w:bookmarkEnd w:id="134"/>
    </w:p>
    <w:p>
      <w:pPr>
        <w:spacing w:line="360" w:lineRule="auto"/>
        <w:jc w:val="center"/>
        <w:rPr>
          <w:rFonts w:ascii="方正小标宋_GBK" w:hAnsi="仿宋" w:eastAsia="方正小标宋_GBK"/>
          <w:bCs/>
          <w:sz w:val="44"/>
          <w:szCs w:val="44"/>
          <w:highlight w:val="none"/>
        </w:rPr>
      </w:pPr>
      <w:r>
        <w:rPr>
          <w:rFonts w:hint="eastAsia" w:ascii="方正小标宋_GBK" w:hAnsi="仿宋" w:eastAsia="方正小标宋_GBK"/>
          <w:b/>
          <w:bCs/>
          <w:sz w:val="44"/>
          <w:szCs w:val="44"/>
          <w:highlight w:val="none"/>
        </w:rPr>
        <w:t>比选评审办法</w:t>
      </w:r>
    </w:p>
    <w:p>
      <w:pPr>
        <w:spacing w:before="156"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一、</w:t>
      </w:r>
      <w:r>
        <w:rPr>
          <w:rFonts w:hint="eastAsia" w:ascii="黑体" w:hAnsi="黑体" w:eastAsia="黑体"/>
          <w:sz w:val="32"/>
          <w:szCs w:val="32"/>
          <w:highlight w:val="none"/>
          <w:lang w:eastAsia="zh-CN"/>
        </w:rPr>
        <w:t>比选人</w:t>
      </w:r>
      <w:r>
        <w:rPr>
          <w:rFonts w:hint="eastAsia" w:ascii="黑体" w:hAnsi="黑体" w:eastAsia="黑体"/>
          <w:sz w:val="32"/>
          <w:szCs w:val="32"/>
          <w:highlight w:val="none"/>
        </w:rPr>
        <w:t>组建评审组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评审组由5人或5人以上单数组成。</w:t>
      </w:r>
    </w:p>
    <w:p>
      <w:pPr>
        <w:spacing w:before="156" w:beforeLines="50" w:line="360" w:lineRule="auto"/>
        <w:ind w:firstLine="640" w:firstLineChars="200"/>
        <w:rPr>
          <w:rFonts w:ascii="黑体" w:hAnsi="黑体" w:eastAsia="黑体"/>
          <w:sz w:val="32"/>
          <w:szCs w:val="32"/>
          <w:highlight w:val="none"/>
        </w:rPr>
      </w:pPr>
      <w:bookmarkStart w:id="135" w:name="_Ref77046541"/>
      <w:r>
        <w:rPr>
          <w:rFonts w:hint="eastAsia" w:ascii="黑体" w:hAnsi="黑体" w:eastAsia="黑体"/>
          <w:sz w:val="32"/>
          <w:szCs w:val="32"/>
          <w:highlight w:val="none"/>
        </w:rPr>
        <w:t>二、比选响应文件的资格条件核实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评审组将审查比选响应人是否有资格圆满地履行合同，如果比选响应人被确定为无资格履行合同，其比选响应文件将被拒绝。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审查将根据比选响应人按规定提交的资格证明文件进行审查。</w:t>
      </w:r>
    </w:p>
    <w:p>
      <w:pPr>
        <w:spacing w:before="156"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三、比选响应文件的</w:t>
      </w:r>
      <w:bookmarkEnd w:id="135"/>
      <w:r>
        <w:rPr>
          <w:rFonts w:hint="eastAsia" w:ascii="黑体" w:hAnsi="黑体" w:eastAsia="黑体"/>
          <w:sz w:val="32"/>
          <w:szCs w:val="32"/>
          <w:highlight w:val="none"/>
        </w:rPr>
        <w:t>初步评审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在详细审查之前，评审组要审查每份比选响应书是否实质上响应了比选文件的要求，是否存在重大偏差。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下列情况属于重大偏差：</w:t>
      </w:r>
    </w:p>
    <w:p>
      <w:pPr>
        <w:keepNext w:val="0"/>
        <w:keepLines w:val="0"/>
        <w:pageBreakBefore w:val="0"/>
        <w:widowControl w:val="0"/>
        <w:tabs>
          <w:tab w:val="left" w:pos="482"/>
        </w:tabs>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（一）未按比选文件要求加盖单位公章或法定代表人（或授权代表）未签字；</w:t>
      </w:r>
    </w:p>
    <w:p>
      <w:pPr>
        <w:keepNext w:val="0"/>
        <w:keepLines w:val="0"/>
        <w:pageBreakBefore w:val="0"/>
        <w:widowControl w:val="0"/>
        <w:tabs>
          <w:tab w:val="left" w:pos="482"/>
        </w:tabs>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（二）授权委托书未满足比选文件的要求；</w:t>
      </w:r>
    </w:p>
    <w:p>
      <w:pPr>
        <w:keepNext w:val="0"/>
        <w:keepLines w:val="0"/>
        <w:pageBreakBefore w:val="0"/>
        <w:widowControl w:val="0"/>
        <w:tabs>
          <w:tab w:val="left" w:pos="482"/>
        </w:tabs>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授权委托书相关要求如下：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1.本授权书在投标人代表不是投标人法定代表人时办理，如由投标人法定代表人亲自签署投标文件并参与投标相关活动，则不需办理本授权书。</w:t>
      </w:r>
      <w:r>
        <w:rPr>
          <w:rFonts w:hint="eastAsia" w:ascii="仿宋_GB2312" w:hAnsi="仿宋" w:eastAsia="仿宋_GB2312"/>
          <w:sz w:val="32"/>
          <w:szCs w:val="32"/>
          <w:highlight w:val="none"/>
        </w:rPr>
        <w:cr/>
      </w:r>
      <w:r>
        <w:rPr>
          <w:rFonts w:hint="eastAsia" w:ascii="仿宋_GB2312" w:hAnsi="仿宋"/>
          <w:sz w:val="30"/>
          <w:szCs w:val="30"/>
          <w:highlight w:val="none"/>
        </w:rPr>
        <w:t xml:space="preserve">   </w:t>
      </w:r>
      <w:r>
        <w:rPr>
          <w:rFonts w:hint="eastAsia" w:ascii="仿宋_GB2312" w:hAnsi="仿宋" w:eastAsia="仿宋_GB2312"/>
          <w:sz w:val="32"/>
          <w:szCs w:val="32"/>
          <w:highlight w:val="none"/>
        </w:rPr>
        <w:t xml:space="preserve"> 2.如果有委托代理人的，应同时附法定代表人身份证明、授权委托书。否则不通过其初步评审。</w:t>
      </w:r>
      <w:r>
        <w:rPr>
          <w:rFonts w:hint="eastAsia" w:ascii="仿宋_GB2312" w:hAnsi="仿宋" w:eastAsia="仿宋_GB2312"/>
          <w:sz w:val="32"/>
          <w:szCs w:val="32"/>
          <w:highlight w:val="none"/>
        </w:rPr>
        <w:cr/>
      </w:r>
      <w:r>
        <w:rPr>
          <w:rFonts w:hint="eastAsia" w:ascii="仿宋_GB2312" w:hAnsi="仿宋" w:eastAsia="仿宋_GB2312"/>
          <w:sz w:val="32"/>
          <w:szCs w:val="32"/>
          <w:highlight w:val="none"/>
        </w:rPr>
        <w:t xml:space="preserve">    3.委托代理人只能是一个人，且不能再授予他人，否则招标人将认为其授权无效。</w:t>
      </w:r>
      <w:r>
        <w:rPr>
          <w:rFonts w:hint="eastAsia" w:ascii="仿宋_GB2312" w:hAnsi="仿宋" w:eastAsia="仿宋_GB2312"/>
          <w:sz w:val="32"/>
          <w:szCs w:val="32"/>
          <w:highlight w:val="none"/>
        </w:rPr>
        <w:cr/>
      </w:r>
      <w:r>
        <w:rPr>
          <w:rFonts w:hint="eastAsia" w:ascii="仿宋_GB2312" w:hAnsi="仿宋" w:eastAsia="仿宋_GB2312"/>
          <w:sz w:val="32"/>
          <w:szCs w:val="32"/>
          <w:highlight w:val="none"/>
        </w:rPr>
        <w:t xml:space="preserve">    4.投标人法定代表人授权书应加盖投标人公章，授权人和委托代理人均须在授权书上签字，不得使用签名章代替。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5.授权书后须附授权人和委托代理人身份证影印件，并保证清晰有效。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（三）比选响应人未按规定的格式填写，内容不完整或关键字迹模糊、无法辨认的；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（四）比选响应人递交两份或多份内容不同的比选响应文件，或在一份比选响应文件中对同一比选响应范围报有两个或多个报价，且未声明哪一个为最终报价的；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（五）比选报价明显偏低（即比选报价小于或等于通过资格审查的所有比选响应人算术平均报价的60％）；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 xml:space="preserve">（六）比选报价明显偏高（即比选报价大于或等于通过资格审查的所有比选响应人算术平均报价的140％）；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（七）不符合比选文件及相关法律法规中规定的其它实质性要求。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如果比选响应文件存在上述重大偏差，比选人将予以拒绝或作为无效比选响应文件处理。递交比选响应文件后，比选响应人不得通过修正从而使其未完全响应的比选响应文件成为实际上完全响应的比选响应文件。</w:t>
      </w:r>
    </w:p>
    <w:p>
      <w:pPr>
        <w:spacing w:before="156" w:beforeLines="50" w:line="360" w:lineRule="auto"/>
        <w:ind w:firstLine="640" w:firstLineChars="200"/>
        <w:rPr>
          <w:rFonts w:ascii="黑体" w:hAnsi="黑体" w:eastAsia="黑体"/>
          <w:sz w:val="32"/>
          <w:szCs w:val="32"/>
          <w:highlight w:val="none"/>
        </w:rPr>
      </w:pPr>
      <w:r>
        <w:rPr>
          <w:rFonts w:hint="eastAsia" w:ascii="黑体" w:hAnsi="黑体" w:eastAsia="黑体"/>
          <w:sz w:val="32"/>
          <w:szCs w:val="32"/>
          <w:highlight w:val="none"/>
        </w:rPr>
        <w:t>四、比选响应文件的详细评审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（一）评审组成员只能按以下确定的评分项目、内容、要求进行评分，不能另行列项，否则视为废票；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（二）评分由评审组成员在充分讨论、沟通的基础上，各自独立进行；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评分以记名方式进行；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（三）比选采用综合评分法。满分为100分。</w:t>
      </w:r>
    </w:p>
    <w:p>
      <w:pPr>
        <w:spacing w:before="156" w:beforeLines="50" w:line="300" w:lineRule="auto"/>
        <w:jc w:val="center"/>
        <w:rPr>
          <w:rFonts w:ascii="仿宋_GB2312" w:hAnsi="仿宋" w:eastAsia="仿宋_GB2312"/>
          <w:sz w:val="32"/>
          <w:highlight w:val="none"/>
        </w:rPr>
      </w:pPr>
      <w:r>
        <w:rPr>
          <w:rFonts w:hint="eastAsia" w:ascii="仿宋_GB2312" w:hAnsi="仿宋_GB2312" w:eastAsia="仿宋_GB2312" w:cs="仿宋_GB2312"/>
          <w:sz w:val="32"/>
          <w:szCs w:val="32"/>
          <w:highlight w:val="none"/>
          <w:lang w:eastAsia="zh-CN"/>
        </w:rPr>
        <w:t>四川交投物流有限公司</w:t>
      </w:r>
      <w:r>
        <w:rPr>
          <w:rFonts w:hint="eastAsia" w:ascii="仿宋_GB2312" w:hAnsi="仿宋_GB2312" w:eastAsia="仿宋_GB2312" w:cs="仿宋_GB2312"/>
          <w:sz w:val="32"/>
          <w:szCs w:val="32"/>
          <w:highlight w:val="none"/>
        </w:rPr>
        <w:t>咨询机构</w:t>
      </w:r>
      <w:r>
        <w:rPr>
          <w:rFonts w:hint="eastAsia" w:ascii="仿宋_GB2312" w:hAnsi="仿宋" w:eastAsia="仿宋_GB2312"/>
          <w:sz w:val="32"/>
          <w:szCs w:val="32"/>
          <w:highlight w:val="none"/>
        </w:rPr>
        <w:t>评审标准</w:t>
      </w:r>
    </w:p>
    <w:tbl>
      <w:tblPr>
        <w:tblStyle w:val="21"/>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9"/>
        <w:gridCol w:w="1415"/>
        <w:gridCol w:w="6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979"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内容</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9"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报价部分（10分）</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报价</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满足招标文件要求的投标价格平均价为评标基准价值，其价格分为满分，投标人报价高于/低于基准价值的，每高于/低于2万元，扣0.5分。注：大于或等于基准价值140%、低于或等于基准价值60%的视为无效投标。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979" w:type="dxa"/>
            <w:tcBorders>
              <w:top w:val="single" w:color="000000" w:sz="4" w:space="0"/>
              <w:left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项目团队业绩评定</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（20分）</w:t>
            </w:r>
          </w:p>
        </w:tc>
        <w:tc>
          <w:tcPr>
            <w:tcW w:w="1415" w:type="dxa"/>
            <w:tcBorders>
              <w:top w:val="single" w:color="000000" w:sz="4" w:space="0"/>
              <w:left w:val="single" w:color="000000" w:sz="4" w:space="0"/>
              <w:right w:val="single" w:color="000000" w:sz="4" w:space="0"/>
            </w:tcBorders>
            <w:vAlign w:val="center"/>
          </w:tcPr>
          <w:p>
            <w:pPr>
              <w:pStyle w:val="27"/>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同类业绩</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（20分）</w:t>
            </w:r>
          </w:p>
        </w:tc>
        <w:tc>
          <w:tcPr>
            <w:tcW w:w="6440" w:type="dxa"/>
            <w:tcBorders>
              <w:top w:val="single" w:color="auto" w:sz="4" w:space="0"/>
              <w:left w:val="single" w:color="auto" w:sz="4" w:space="0"/>
              <w:bottom w:val="single" w:color="auto" w:sz="4" w:space="0"/>
              <w:right w:val="single" w:color="auto" w:sz="4" w:space="0"/>
            </w:tcBorders>
          </w:tcPr>
          <w:p>
            <w:pP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为政府、大型国有企业、世界500强企业、上市公司等提供过园区开发、物流及供应链设施等策划、规划咨询服务经验的项目，每提供1个得3分。其他产业园区、物流及供应链设施等规划咨询服务经验的项目，每提供1个得1分。本项满分20分。注：需提供合同复印件并加盖公章。未按要求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人员配置</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（10分）</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项目负责人</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项目负责人在园区</w:t>
            </w:r>
            <w:r>
              <w:rPr>
                <w:rFonts w:hint="eastAsia" w:ascii="仿宋_GB2312" w:hAnsi="仿宋_GB2312" w:eastAsia="仿宋_GB2312" w:cs="仿宋_GB2312"/>
                <w:sz w:val="24"/>
                <w:highlight w:val="none"/>
                <w:lang w:val="en-US" w:eastAsia="zh-CN"/>
              </w:rPr>
              <w:t>开发</w:t>
            </w:r>
            <w:r>
              <w:rPr>
                <w:rFonts w:hint="eastAsia" w:ascii="仿宋_GB2312" w:hAnsi="仿宋_GB2312" w:eastAsia="仿宋_GB2312" w:cs="仿宋_GB2312"/>
                <w:sz w:val="24"/>
                <w:highlight w:val="none"/>
              </w:rPr>
              <w:t>、物流及供应链设施等规划咨询领域有超过1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年专业经验</w:t>
            </w:r>
            <w:r>
              <w:rPr>
                <w:rFonts w:hint="eastAsia" w:ascii="仿宋_GB2312" w:hAnsi="仿宋_GB2312" w:eastAsia="仿宋_GB2312" w:cs="仿宋_GB2312"/>
                <w:sz w:val="24"/>
                <w:highlight w:val="none"/>
                <w:lang w:val="en-US" w:eastAsia="zh-CN"/>
              </w:rPr>
              <w:t>或在</w:t>
            </w:r>
            <w:r>
              <w:rPr>
                <w:rFonts w:hint="eastAsia" w:ascii="仿宋_GB2312" w:hAnsi="仿宋_GB2312" w:eastAsia="仿宋_GB2312" w:cs="仿宋_GB2312"/>
                <w:i w:val="0"/>
                <w:caps w:val="0"/>
                <w:spacing w:val="0"/>
                <w:sz w:val="24"/>
                <w:szCs w:val="24"/>
                <w:highlight w:val="none"/>
                <w:shd w:val="clear"/>
                <w:lang w:val="en-US" w:eastAsia="zh-CN"/>
              </w:rPr>
              <w:t>五</w:t>
            </w:r>
            <w:r>
              <w:rPr>
                <w:rFonts w:hint="eastAsia" w:ascii="仿宋_GB2312" w:hAnsi="仿宋_GB2312" w:eastAsia="仿宋_GB2312" w:cs="仿宋_GB2312"/>
                <w:i w:val="0"/>
                <w:caps w:val="0"/>
                <w:spacing w:val="0"/>
                <w:sz w:val="24"/>
                <w:szCs w:val="24"/>
                <w:highlight w:val="none"/>
                <w:shd w:val="clear"/>
              </w:rPr>
              <w:t>个及以上</w:t>
            </w:r>
            <w:r>
              <w:rPr>
                <w:rFonts w:hint="eastAsia" w:ascii="仿宋_GB2312" w:hAnsi="仿宋_GB2312" w:eastAsia="仿宋_GB2312" w:cs="仿宋_GB2312"/>
                <w:b w:val="0"/>
                <w:i w:val="0"/>
                <w:caps w:val="0"/>
                <w:spacing w:val="0"/>
                <w:sz w:val="24"/>
                <w:szCs w:val="24"/>
                <w:highlight w:val="none"/>
                <w:shd w:val="clear"/>
              </w:rPr>
              <w:t>项目</w:t>
            </w:r>
            <w:r>
              <w:rPr>
                <w:rFonts w:hint="eastAsia" w:ascii="仿宋_GB2312" w:hAnsi="仿宋_GB2312" w:eastAsia="仿宋_GB2312" w:cs="仿宋_GB2312"/>
                <w:i w:val="0"/>
                <w:caps w:val="0"/>
                <w:spacing w:val="0"/>
                <w:sz w:val="24"/>
                <w:szCs w:val="24"/>
                <w:highlight w:val="none"/>
                <w:shd w:val="clear"/>
              </w:rPr>
              <w:t>担任</w:t>
            </w:r>
            <w:r>
              <w:rPr>
                <w:rFonts w:hint="eastAsia" w:ascii="仿宋_GB2312" w:hAnsi="仿宋_GB2312" w:eastAsia="仿宋_GB2312" w:cs="仿宋_GB2312"/>
                <w:b w:val="0"/>
                <w:i w:val="0"/>
                <w:caps w:val="0"/>
                <w:spacing w:val="0"/>
                <w:sz w:val="24"/>
                <w:szCs w:val="24"/>
                <w:highlight w:val="none"/>
                <w:shd w:val="clear"/>
              </w:rPr>
              <w:t>项目负责人</w:t>
            </w:r>
            <w:r>
              <w:rPr>
                <w:rFonts w:hint="eastAsia" w:ascii="仿宋_GB2312" w:hAnsi="仿宋_GB2312" w:eastAsia="仿宋_GB2312" w:cs="仿宋_GB2312"/>
                <w:sz w:val="24"/>
                <w:highlight w:val="none"/>
              </w:rPr>
              <w:t>的得5分，有</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-1</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年专业经验</w:t>
            </w:r>
            <w:r>
              <w:rPr>
                <w:rFonts w:hint="eastAsia" w:ascii="仿宋_GB2312" w:hAnsi="仿宋_GB2312" w:eastAsia="仿宋_GB2312" w:cs="仿宋_GB2312"/>
                <w:sz w:val="24"/>
                <w:highlight w:val="none"/>
                <w:lang w:val="en-US" w:eastAsia="zh-CN"/>
              </w:rPr>
              <w:t>或在三个及以上项目担任项目负责人</w:t>
            </w:r>
            <w:r>
              <w:rPr>
                <w:rFonts w:hint="eastAsia" w:ascii="仿宋_GB2312" w:hAnsi="仿宋_GB2312" w:eastAsia="仿宋_GB2312" w:cs="仿宋_GB2312"/>
                <w:sz w:val="24"/>
                <w:highlight w:val="none"/>
              </w:rPr>
              <w:t>的得3分,有</w:t>
            </w:r>
            <w:r>
              <w:rPr>
                <w:rFonts w:hint="eastAsia" w:ascii="仿宋_GB2312" w:hAnsi="仿宋_GB2312" w:eastAsia="仿宋_GB2312" w:cs="仿宋_GB2312"/>
                <w:sz w:val="24"/>
                <w:highlight w:val="none"/>
                <w:lang w:val="en-US" w:eastAsia="zh-CN"/>
              </w:rPr>
              <w:t>10</w:t>
            </w:r>
            <w:r>
              <w:rPr>
                <w:rFonts w:hint="eastAsia" w:ascii="仿宋_GB2312" w:hAnsi="仿宋_GB2312" w:eastAsia="仿宋_GB2312" w:cs="仿宋_GB2312"/>
                <w:sz w:val="24"/>
                <w:highlight w:val="none"/>
              </w:rPr>
              <w:t>年以下专业经验的得1分。本项满分5分。注：需提供个人履历及相关专业证书复印件并加盖公章。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项目参与人员</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除项目负责人外，项目组其他成员每人在产业园区、物流及供应链设施等规划咨询领域有超过5年专业经验的得1分，有3-5年专业经验的得0.8分，有3年以下专业经验的得0.5分。本项满分5分。注：需提供个人履历及相关专业证书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jc w:val="center"/>
        </w:trPr>
        <w:tc>
          <w:tcPr>
            <w:tcW w:w="979" w:type="dxa"/>
            <w:tcBorders>
              <w:top w:val="single" w:color="000000" w:sz="4" w:space="0"/>
              <w:left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需求理解</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（10分）</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对本项目的认识和理解（10分）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提出对区域</w:t>
            </w:r>
            <w:r>
              <w:rPr>
                <w:rFonts w:hint="eastAsia" w:ascii="仿宋_GB2312" w:hAnsi="仿宋_GB2312" w:eastAsia="仿宋_GB2312" w:cs="仿宋_GB2312"/>
                <w:sz w:val="24"/>
                <w:highlight w:val="none"/>
                <w:lang w:val="en-US" w:eastAsia="zh-CN"/>
              </w:rPr>
              <w:t>产业</w:t>
            </w:r>
            <w:r>
              <w:rPr>
                <w:rFonts w:hint="eastAsia" w:ascii="仿宋_GB2312" w:hAnsi="仿宋_GB2312" w:eastAsia="仿宋_GB2312" w:cs="仿宋_GB2312"/>
                <w:sz w:val="24"/>
                <w:highlight w:val="none"/>
              </w:rPr>
              <w:t>经济、上位规划及政策、物流及供应链行业发展趋势、项目开发条件、开发企业业务及资源禀赋等内容的认识见解。对上述内容论述完整、全面、科学性及指导性强且与项目相匹配的得8-10分，论述完整但在深刻性和解读充分性上有所欠缺的得5-7分，论述不完整、不全面且科学性、指导性不足得1-4分。本项最高得分10分，无该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979" w:type="dxa"/>
            <w:vMerge w:val="restart"/>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服务方案评定</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（45分）</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工作框架</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提出项目策划思路及策划逻辑。对上述内容论述详细、合理且针对性、指导性强的得5分，内容详细、合理且但针对性、指导性不足的得3分，内容不够详细、合理的得1分。本项最高得分5分，无该项内容不得分。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979" w:type="dxa"/>
            <w:vMerge w:val="continue"/>
            <w:tcBorders>
              <w:left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p>
        </w:tc>
        <w:tc>
          <w:tcPr>
            <w:tcW w:w="1415" w:type="dxa"/>
            <w:vMerge w:val="restart"/>
            <w:tcBorders>
              <w:top w:val="single" w:color="000000" w:sz="4" w:space="0"/>
              <w:left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策划方案</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（30分）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围绕环境、区位、资源、政策等因素对项目进行客观、科学、全方位的论证，提出策划方案。策划方案针对项目策划工作重点、难点问题提出合理化处理建议，且内容论述完整、全面且逻辑性强的得10-15分，论述完整、全面但逻辑性有所欠缺的得5-9分，论述不完整不全面且逻辑性不足的得1-4分。本项最高得分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979" w:type="dxa"/>
            <w:vMerge w:val="continue"/>
            <w:tcBorders>
              <w:left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p>
        </w:tc>
        <w:tc>
          <w:tcPr>
            <w:tcW w:w="1415" w:type="dxa"/>
            <w:vMerge w:val="continue"/>
            <w:tcBorders>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有针对性的</w:t>
            </w:r>
            <w:r>
              <w:rPr>
                <w:rFonts w:hint="eastAsia" w:ascii="仿宋_GB2312" w:hAnsi="仿宋_GB2312" w:eastAsia="仿宋_GB2312" w:cs="仿宋_GB2312"/>
                <w:sz w:val="24"/>
                <w:highlight w:val="none"/>
              </w:rPr>
              <w:t>提出项目</w:t>
            </w:r>
            <w:r>
              <w:rPr>
                <w:rFonts w:hint="eastAsia" w:ascii="仿宋_GB2312" w:hAnsi="仿宋_GB2312" w:eastAsia="仿宋_GB2312" w:cs="仿宋_GB2312"/>
                <w:sz w:val="24"/>
                <w:highlight w:val="none"/>
                <w:lang w:val="en-US" w:eastAsia="zh-CN"/>
              </w:rPr>
              <w:t>定位、</w:t>
            </w:r>
            <w:r>
              <w:rPr>
                <w:rFonts w:hint="eastAsia" w:ascii="仿宋_GB2312" w:hAnsi="仿宋_GB2312" w:eastAsia="仿宋_GB2312" w:cs="仿宋_GB2312"/>
                <w:sz w:val="24"/>
                <w:highlight w:val="none"/>
              </w:rPr>
              <w:t>产业体系搭建规划、功能规划、建设规划及</w:t>
            </w:r>
            <w:r>
              <w:rPr>
                <w:rFonts w:hint="eastAsia" w:ascii="仿宋_GB2312" w:hAnsi="仿宋_GB2312" w:eastAsia="仿宋_GB2312" w:cs="仿宋_GB2312"/>
                <w:sz w:val="24"/>
                <w:highlight w:val="none"/>
                <w:lang w:eastAsia="zh-CN"/>
              </w:rPr>
              <w:t>效益分析</w:t>
            </w:r>
            <w:r>
              <w:rPr>
                <w:rFonts w:hint="eastAsia" w:ascii="仿宋_GB2312" w:hAnsi="仿宋_GB2312" w:eastAsia="仿宋_GB2312" w:cs="仿宋_GB2312"/>
                <w:sz w:val="24"/>
                <w:highlight w:val="none"/>
              </w:rPr>
              <w:t>依据。策划方案内容详实、指导性强且业态规划和</w:t>
            </w:r>
            <w:r>
              <w:rPr>
                <w:rFonts w:hint="eastAsia" w:ascii="仿宋_GB2312" w:hAnsi="仿宋_GB2312" w:eastAsia="仿宋_GB2312" w:cs="仿宋_GB2312"/>
                <w:sz w:val="24"/>
                <w:highlight w:val="none"/>
                <w:lang w:eastAsia="zh-CN"/>
              </w:rPr>
              <w:t>效益分析</w:t>
            </w:r>
            <w:r>
              <w:rPr>
                <w:rFonts w:hint="eastAsia" w:ascii="仿宋_GB2312" w:hAnsi="仿宋_GB2312" w:eastAsia="仿宋_GB2312" w:cs="仿宋_GB2312"/>
                <w:sz w:val="24"/>
                <w:highlight w:val="none"/>
              </w:rPr>
              <w:t>有数据支撑的得10-15分，内容有指导性但缺乏数据支撑的得5-9分，内容缺乏指导性和数据支撑的得1-4分。本项最高得分15分，无该项内容不得分。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优质服务</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保障措施</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针对项目策划响应方案提出优质服务保障措施，包括但不限于及时响应业主咨询需求、积极配合评审及汇报工作</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完善的公司质量控制体系及保密措施</w:t>
            </w:r>
            <w:r>
              <w:rPr>
                <w:rFonts w:hint="eastAsia" w:ascii="仿宋_GB2312" w:hAnsi="仿宋_GB2312" w:eastAsia="仿宋_GB2312" w:cs="仿宋_GB2312"/>
                <w:sz w:val="24"/>
                <w:highlight w:val="none"/>
              </w:rPr>
              <w:t>等。服务保障措施考量全面且合理、高效得5分，服务保障措施较好得3分，服务保障措施一般得1分。本项最高得分5分，无该项内容不得分。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hint="eastAsia" w:ascii="仿宋_GB2312" w:hAnsi="仿宋_GB2312" w:eastAsia="仿宋_GB2312" w:cs="仿宋_GB2312"/>
                <w:sz w:val="24"/>
                <w:highlight w:val="none"/>
                <w:lang w:val="en-US" w:eastAsia="zh-CN"/>
              </w:rPr>
            </w:pPr>
            <w:r>
              <w:rPr>
                <w:rFonts w:hint="eastAsia" w:ascii="仿宋_GB2312" w:hAnsi="仿宋_GB2312" w:eastAsia="仿宋_GB2312" w:cs="仿宋_GB2312"/>
                <w:sz w:val="24"/>
                <w:highlight w:val="none"/>
                <w:lang w:val="en-US" w:eastAsia="zh-CN"/>
              </w:rPr>
              <w:t>进度控制</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保证项目用时在15天以内</w:t>
            </w:r>
            <w:r>
              <w:rPr>
                <w:rFonts w:hint="eastAsia" w:ascii="仿宋_GB2312" w:hAnsi="仿宋_GB2312" w:eastAsia="仿宋_GB2312" w:cs="仿宋_GB2312"/>
                <w:sz w:val="24"/>
                <w:highlight w:val="none"/>
              </w:rPr>
              <w:t>得5分，</w:t>
            </w:r>
            <w:r>
              <w:rPr>
                <w:rFonts w:hint="eastAsia" w:ascii="仿宋_GB2312" w:hAnsi="仿宋_GB2312" w:eastAsia="仿宋_GB2312" w:cs="仿宋_GB2312"/>
                <w:sz w:val="24"/>
                <w:highlight w:val="none"/>
                <w:lang w:val="en-US" w:eastAsia="zh-CN"/>
              </w:rPr>
              <w:t>用时时间在20天以内得3分，20天以上不得</w:t>
            </w:r>
            <w:r>
              <w:rPr>
                <w:rFonts w:hint="eastAsia" w:ascii="仿宋_GB2312" w:hAnsi="仿宋_GB2312" w:eastAsia="仿宋_GB2312" w:cs="仿宋_GB2312"/>
                <w:sz w:val="24"/>
                <w:highlight w:val="none"/>
              </w:rPr>
              <w:t>分。本项最高得分5分。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979" w:type="dxa"/>
            <w:tcBorders>
              <w:top w:val="single" w:color="000000" w:sz="4" w:space="0"/>
              <w:left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投标文件规范性</w:t>
            </w:r>
          </w:p>
          <w:p>
            <w:pPr>
              <w:pStyle w:val="26"/>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（5分）</w:t>
            </w:r>
          </w:p>
        </w:tc>
        <w:tc>
          <w:tcPr>
            <w:tcW w:w="6440" w:type="dxa"/>
            <w:tcBorders>
              <w:top w:val="single" w:color="000000" w:sz="4" w:space="0"/>
              <w:left w:val="single" w:color="000000" w:sz="4" w:space="0"/>
              <w:bottom w:val="single" w:color="000000" w:sz="4" w:space="0"/>
              <w:right w:val="single" w:color="000000" w:sz="4" w:space="0"/>
            </w:tcBorders>
            <w:vAlign w:val="center"/>
          </w:tcPr>
          <w:p>
            <w:pPr>
              <w:pStyle w:val="26"/>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投标文件制作规范，没有细微偏差情形的得5分；有一项细微偏差扣1分。本项最高得分5分。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1.综合评分=报价评分+项目团队业绩评分+人员配置评分+需求理解评分+服务方案评分+其他评分；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2.分项得分按四舍五入原则精确到小数点后一位,综合评分四舍五入取整数位。</w:t>
      </w:r>
    </w:p>
    <w:p>
      <w:pPr>
        <w:spacing w:before="156" w:beforeLines="50" w:line="30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（四）推荐通过中选候选人</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highlight w:val="none"/>
        </w:rPr>
      </w:pPr>
      <w:r>
        <w:rPr>
          <w:rFonts w:hint="eastAsia" w:ascii="仿宋_GB2312" w:hAnsi="仿宋" w:eastAsia="仿宋_GB2312"/>
          <w:sz w:val="32"/>
          <w:szCs w:val="32"/>
          <w:highlight w:val="none"/>
        </w:rPr>
        <w:t>评审组根据评分统计结果按综合得分从高到低排序，综合评分相同的，按报价评分由高到低顺序排列；综合评分相同，且报价评分相同的，按质量评分由高到低顺序排列；综合评分相同，且报价评分、质量评分均相同的，按进度评分由高到低顺序排列；综合评分相同，且报价评分、质量评分、进度评分均相同，按保密评分由高到低顺序排列；综合评分相同，且报价评分、质量评分、进度评分、保密评分均相同名次由评审组抽签决定，评审组按上述排列顺序向比选人推荐中选候选人。</w:t>
      </w: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rFonts w:hint="eastAsia" w:ascii="仿宋_GB2312" w:eastAsia="仿宋_GB2312"/>
          <w:sz w:val="32"/>
          <w:szCs w:val="32"/>
          <w:highlight w:val="none"/>
        </w:rPr>
      </w:pPr>
    </w:p>
    <w:p>
      <w:pPr>
        <w:spacing w:before="156" w:beforeLines="50" w:line="300" w:lineRule="auto"/>
        <w:ind w:firstLine="420" w:firstLineChars="200"/>
        <w:rPr>
          <w:highlight w:val="none"/>
        </w:rPr>
      </w:pPr>
    </w:p>
    <w:p>
      <w:pPr>
        <w:pStyle w:val="5"/>
        <w:rPr>
          <w:rFonts w:ascii="黑体" w:hAnsi="黑体" w:cs="黑体"/>
          <w:szCs w:val="32"/>
          <w:highlight w:val="none"/>
        </w:rPr>
      </w:pPr>
      <w:bookmarkStart w:id="136" w:name="_Toc42174563"/>
      <w:bookmarkStart w:id="137" w:name="_Toc12013"/>
      <w:bookmarkStart w:id="138" w:name="_Toc14957"/>
      <w:bookmarkStart w:id="139" w:name="_Toc30582"/>
      <w:bookmarkStart w:id="140" w:name="_Toc24342"/>
      <w:bookmarkStart w:id="141" w:name="_Toc21326"/>
      <w:bookmarkStart w:id="142" w:name="_Toc16427"/>
      <w:bookmarkStart w:id="143" w:name="_Toc2870"/>
      <w:bookmarkStart w:id="144" w:name="_Toc27468"/>
      <w:r>
        <w:rPr>
          <w:rFonts w:hint="eastAsia" w:ascii="黑体" w:hAnsi="黑体" w:eastAsia="黑体" w:cs="黑体"/>
          <w:bCs/>
          <w:sz w:val="32"/>
          <w:szCs w:val="32"/>
          <w:highlight w:val="none"/>
        </w:rPr>
        <w:t>附件八：公司简介、团队简介及项目策划方案</w:t>
      </w:r>
      <w:bookmarkEnd w:id="136"/>
      <w:bookmarkEnd w:id="137"/>
      <w:bookmarkEnd w:id="138"/>
      <w:bookmarkEnd w:id="139"/>
      <w:bookmarkEnd w:id="140"/>
      <w:bookmarkEnd w:id="141"/>
      <w:bookmarkEnd w:id="142"/>
      <w:bookmarkEnd w:id="143"/>
      <w:bookmarkEnd w:id="144"/>
    </w:p>
    <w:p>
      <w:pPr>
        <w:widowControl/>
        <w:shd w:val="clear" w:color="auto" w:fill="FFFFFF"/>
        <w:spacing w:line="360" w:lineRule="auto"/>
        <w:ind w:firstLine="480"/>
        <w:rPr>
          <w:rFonts w:ascii="仿宋_GB2312" w:eastAsia="仿宋_GB2312" w:cs="Arial" w:hAnsiTheme="majorEastAsia"/>
          <w:kern w:val="0"/>
          <w:sz w:val="30"/>
          <w:szCs w:val="30"/>
          <w:highlight w:val="none"/>
        </w:rPr>
      </w:pPr>
      <w:r>
        <w:rPr>
          <w:rFonts w:hint="eastAsia" w:ascii="仿宋_GB2312" w:eastAsia="仿宋_GB2312" w:cs="Arial" w:hAnsiTheme="majorEastAsia"/>
          <w:kern w:val="0"/>
          <w:sz w:val="30"/>
          <w:szCs w:val="30"/>
          <w:highlight w:val="none"/>
        </w:rPr>
        <w:t>请按照比选文件要求提供相应材料，格式自拟。</w:t>
      </w:r>
    </w:p>
    <w:p>
      <w:pPr>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pStyle w:val="5"/>
        <w:widowControl/>
        <w:shd w:val="clear" w:color="auto" w:fill="FFFFFF"/>
        <w:spacing w:line="360" w:lineRule="auto"/>
        <w:jc w:val="left"/>
        <w:rPr>
          <w:rFonts w:ascii="黑体" w:hAnsi="黑体" w:eastAsia="黑体" w:cs="黑体"/>
          <w:kern w:val="0"/>
          <w:sz w:val="32"/>
          <w:szCs w:val="32"/>
          <w:highlight w:val="none"/>
        </w:rPr>
      </w:pPr>
      <w:bookmarkStart w:id="145" w:name="_Toc11558"/>
      <w:bookmarkStart w:id="146" w:name="_Toc30497"/>
      <w:bookmarkStart w:id="147" w:name="_Toc42174564"/>
      <w:bookmarkStart w:id="148" w:name="_Toc24399"/>
      <w:r>
        <w:rPr>
          <w:rFonts w:hint="eastAsia" w:ascii="黑体" w:hAnsi="黑体" w:eastAsia="黑体" w:cs="黑体"/>
          <w:sz w:val="32"/>
          <w:szCs w:val="32"/>
          <w:highlight w:val="none"/>
        </w:rPr>
        <w:t>附件九：优质服务保障措施</w:t>
      </w:r>
      <w:r>
        <w:rPr>
          <w:rFonts w:hint="eastAsia" w:ascii="黑体" w:hAnsi="黑体" w:eastAsia="黑体" w:cs="黑体"/>
          <w:b/>
          <w:bCs/>
          <w:kern w:val="0"/>
          <w:sz w:val="32"/>
          <w:szCs w:val="32"/>
          <w:highlight w:val="none"/>
        </w:rPr>
        <w:t>承诺书</w:t>
      </w:r>
      <w:bookmarkEnd w:id="145"/>
      <w:bookmarkEnd w:id="146"/>
      <w:bookmarkEnd w:id="147"/>
      <w:bookmarkEnd w:id="148"/>
    </w:p>
    <w:p>
      <w:pPr>
        <w:spacing w:line="360" w:lineRule="auto"/>
        <w:jc w:val="left"/>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四川交投物流有限公司</w:t>
      </w:r>
      <w:r>
        <w:rPr>
          <w:rFonts w:hint="eastAsia" w:ascii="仿宋_GB2312" w:hAnsi="仿宋" w:eastAsia="仿宋_GB2312"/>
          <w:sz w:val="32"/>
          <w:szCs w:val="32"/>
          <w:highlight w:val="none"/>
        </w:rPr>
        <w:t>：</w:t>
      </w:r>
    </w:p>
    <w:p>
      <w:pPr>
        <w:widowControl/>
        <w:shd w:val="clear" w:color="auto" w:fill="FFFFFF"/>
        <w:spacing w:line="360" w:lineRule="auto"/>
        <w:ind w:firstLine="640" w:firstLineChars="200"/>
        <w:rPr>
          <w:rFonts w:ascii="仿宋_GB2312" w:eastAsia="仿宋_GB2312" w:cs="Arial" w:hAnsiTheme="majorEastAsia"/>
          <w:kern w:val="0"/>
          <w:sz w:val="30"/>
          <w:szCs w:val="30"/>
          <w:highlight w:val="none"/>
        </w:rPr>
      </w:pPr>
      <w:r>
        <w:rPr>
          <w:rFonts w:hint="eastAsia" w:ascii="仿宋_GB2312" w:hAnsi="仿宋" w:eastAsia="仿宋_GB2312"/>
          <w:sz w:val="32"/>
          <w:szCs w:val="32"/>
          <w:highlight w:val="none"/>
        </w:rPr>
        <w:t>本单位自愿参加</w:t>
      </w:r>
      <w:r>
        <w:rPr>
          <w:rFonts w:hint="eastAsia" w:ascii="仿宋_GB2312" w:hAnsi="仿宋" w:eastAsia="仿宋_GB2312"/>
          <w:sz w:val="32"/>
          <w:szCs w:val="32"/>
          <w:highlight w:val="none"/>
          <w:lang w:val="en-US" w:eastAsia="zh-CN"/>
        </w:rPr>
        <w:t>某现代物流基地项目策划方案咨询服务</w:t>
      </w:r>
      <w:r>
        <w:rPr>
          <w:rFonts w:hint="eastAsia" w:ascii="仿宋_GB2312" w:hAnsi="仿宋" w:eastAsia="仿宋_GB2312"/>
          <w:sz w:val="32"/>
          <w:szCs w:val="32"/>
          <w:highlight w:val="none"/>
        </w:rPr>
        <w:t>中介机构选聘，</w:t>
      </w:r>
      <w:r>
        <w:rPr>
          <w:rFonts w:hint="eastAsia" w:ascii="仿宋_GB2312" w:hAnsi="仿宋" w:eastAsia="仿宋_GB2312" w:cs="宋体"/>
          <w:kern w:val="2"/>
          <w:sz w:val="32"/>
          <w:szCs w:val="32"/>
          <w:highlight w:val="none"/>
        </w:rPr>
        <w:t>我公司在参与本项目比选活动中，作出以下承诺：</w:t>
      </w:r>
    </w:p>
    <w:p>
      <w:pPr>
        <w:widowControl/>
        <w:shd w:val="clear" w:color="auto" w:fill="FFFFFF"/>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cs="宋体"/>
          <w:kern w:val="2"/>
          <w:sz w:val="32"/>
          <w:szCs w:val="32"/>
          <w:highlight w:val="none"/>
        </w:rPr>
        <w:t>如我公司中标，我公司项目经理及咨询人员将</w:t>
      </w:r>
      <w:r>
        <w:rPr>
          <w:rFonts w:hint="eastAsia" w:ascii="仿宋_GB2312" w:hAnsi="仿宋" w:eastAsia="仿宋_GB2312" w:cs="宋体"/>
          <w:sz w:val="32"/>
          <w:szCs w:val="32"/>
          <w:highlight w:val="none"/>
        </w:rPr>
        <w:t>及时响应业主咨询需求</w:t>
      </w:r>
      <w:r>
        <w:rPr>
          <w:rFonts w:hint="eastAsia" w:ascii="仿宋_GB2312" w:hAnsi="仿宋" w:eastAsia="仿宋_GB2312"/>
          <w:sz w:val="32"/>
          <w:szCs w:val="32"/>
          <w:highlight w:val="none"/>
        </w:rPr>
        <w:t>并</w:t>
      </w:r>
      <w:r>
        <w:rPr>
          <w:rFonts w:hint="eastAsia" w:ascii="仿宋_GB2312" w:hAnsi="仿宋" w:eastAsia="仿宋_GB2312" w:cs="宋体"/>
          <w:sz w:val="32"/>
          <w:szCs w:val="32"/>
          <w:highlight w:val="none"/>
        </w:rPr>
        <w:t>积极配合</w:t>
      </w:r>
      <w:r>
        <w:rPr>
          <w:rFonts w:hint="eastAsia" w:ascii="仿宋_GB2312" w:hAnsi="仿宋" w:eastAsia="仿宋_GB2312"/>
          <w:sz w:val="32"/>
          <w:szCs w:val="32"/>
          <w:highlight w:val="none"/>
        </w:rPr>
        <w:t>各项</w:t>
      </w:r>
      <w:r>
        <w:rPr>
          <w:rFonts w:hint="eastAsia" w:ascii="仿宋_GB2312" w:hAnsi="仿宋" w:eastAsia="仿宋_GB2312" w:cs="宋体"/>
          <w:sz w:val="32"/>
          <w:szCs w:val="32"/>
          <w:highlight w:val="none"/>
        </w:rPr>
        <w:t>评审及汇报工作</w:t>
      </w:r>
      <w:r>
        <w:rPr>
          <w:rFonts w:hint="eastAsia" w:ascii="仿宋_GB2312" w:hAnsi="仿宋" w:eastAsia="仿宋_GB2312"/>
          <w:sz w:val="32"/>
          <w:szCs w:val="32"/>
          <w:highlight w:val="none"/>
        </w:rPr>
        <w:t>。此外，我公司还将提供如下服务承诺：</w:t>
      </w:r>
    </w:p>
    <w:p>
      <w:pPr>
        <w:widowControl/>
        <w:numPr>
          <w:ilvl w:val="0"/>
          <w:numId w:val="1"/>
        </w:numPr>
        <w:shd w:val="clear" w:color="auto" w:fill="FFFFFF"/>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                                      </w:t>
      </w:r>
    </w:p>
    <w:p>
      <w:pPr>
        <w:widowControl/>
        <w:numPr>
          <w:ilvl w:val="0"/>
          <w:numId w:val="1"/>
        </w:numPr>
        <w:shd w:val="clear" w:color="auto" w:fill="FFFFFF"/>
        <w:spacing w:line="360" w:lineRule="auto"/>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 xml:space="preserve">                                      </w:t>
      </w:r>
    </w:p>
    <w:p>
      <w:pPr>
        <w:widowControl/>
        <w:numPr>
          <w:ilvl w:val="0"/>
          <w:numId w:val="1"/>
        </w:numPr>
        <w:shd w:val="clear" w:color="auto" w:fill="FFFFFF"/>
        <w:spacing w:line="360" w:lineRule="auto"/>
        <w:ind w:firstLine="640" w:firstLineChars="200"/>
        <w:rPr>
          <w:rFonts w:ascii="仿宋_GB2312" w:hAnsi="仿宋" w:eastAsia="仿宋_GB2312" w:cs="宋体"/>
          <w:kern w:val="2"/>
          <w:sz w:val="32"/>
          <w:szCs w:val="32"/>
          <w:highlight w:val="none"/>
        </w:rPr>
      </w:pPr>
      <w:r>
        <w:rPr>
          <w:rFonts w:hint="eastAsia" w:ascii="仿宋_GB2312" w:hAnsi="仿宋" w:eastAsia="仿宋_GB2312"/>
          <w:sz w:val="32"/>
          <w:szCs w:val="32"/>
          <w:highlight w:val="none"/>
        </w:rPr>
        <w:t xml:space="preserve">                                      </w:t>
      </w:r>
    </w:p>
    <w:p>
      <w:pPr>
        <w:widowControl/>
        <w:shd w:val="clear" w:color="auto" w:fill="FFFFFF"/>
        <w:spacing w:line="360" w:lineRule="auto"/>
        <w:ind w:firstLine="640" w:firstLineChars="200"/>
        <w:rPr>
          <w:rFonts w:ascii="仿宋_GB2312" w:hAnsi="仿宋" w:eastAsia="仿宋_GB2312" w:cs="宋体"/>
          <w:kern w:val="2"/>
          <w:sz w:val="32"/>
          <w:szCs w:val="32"/>
          <w:highlight w:val="none"/>
        </w:rPr>
      </w:pPr>
      <w:r>
        <w:rPr>
          <w:rFonts w:hint="eastAsia" w:ascii="仿宋_GB2312" w:hAnsi="仿宋" w:eastAsia="仿宋_GB2312" w:cs="宋体"/>
          <w:kern w:val="2"/>
          <w:sz w:val="32"/>
          <w:szCs w:val="32"/>
          <w:highlight w:val="none"/>
        </w:rPr>
        <w:t>特此声明。</w:t>
      </w:r>
    </w:p>
    <w:p>
      <w:pPr>
        <w:widowControl/>
        <w:shd w:val="clear" w:color="auto" w:fill="FFFFFF"/>
        <w:spacing w:line="360" w:lineRule="auto"/>
        <w:ind w:firstLine="480"/>
        <w:rPr>
          <w:rFonts w:ascii="仿宋_GB2312" w:eastAsia="仿宋_GB2312" w:cs="Arial" w:hAnsiTheme="majorEastAsia"/>
          <w:kern w:val="0"/>
          <w:sz w:val="30"/>
          <w:szCs w:val="30"/>
          <w:highlight w:val="none"/>
        </w:rPr>
      </w:pPr>
    </w:p>
    <w:p>
      <w:pPr>
        <w:spacing w:line="360" w:lineRule="auto"/>
        <w:rPr>
          <w:rFonts w:ascii="仿宋_GB2312" w:eastAsia="仿宋_GB2312" w:cs="Arial" w:hAnsiTheme="majorEastAsia"/>
          <w:kern w:val="0"/>
          <w:sz w:val="30"/>
          <w:szCs w:val="30"/>
          <w:highlight w:val="none"/>
        </w:rPr>
      </w:pPr>
    </w:p>
    <w:p>
      <w:pPr>
        <w:spacing w:line="360" w:lineRule="auto"/>
        <w:rPr>
          <w:rFonts w:ascii="仿宋_GB2312" w:eastAsia="仿宋_GB2312" w:cs="Arial" w:hAnsiTheme="majorEastAsia"/>
          <w:kern w:val="0"/>
          <w:sz w:val="30"/>
          <w:szCs w:val="30"/>
          <w:highlight w:val="none"/>
        </w:rPr>
      </w:pPr>
    </w:p>
    <w:p>
      <w:pPr>
        <w:spacing w:line="360" w:lineRule="auto"/>
        <w:rPr>
          <w:rFonts w:ascii="仿宋_GB2312" w:eastAsia="仿宋_GB2312" w:cs="Arial" w:hAnsiTheme="majorEastAsia"/>
          <w:kern w:val="0"/>
          <w:sz w:val="30"/>
          <w:szCs w:val="30"/>
          <w:highlight w:val="none"/>
        </w:rPr>
      </w:pPr>
    </w:p>
    <w:p>
      <w:pPr>
        <w:widowControl/>
        <w:shd w:val="clear" w:color="auto" w:fill="FFFFFF"/>
        <w:spacing w:line="360" w:lineRule="auto"/>
        <w:ind w:firstLine="640" w:firstLineChars="200"/>
        <w:rPr>
          <w:rFonts w:ascii="仿宋_GB2312" w:hAnsi="仿宋" w:eastAsia="仿宋_GB2312" w:cs="宋体"/>
          <w:kern w:val="2"/>
          <w:sz w:val="32"/>
          <w:szCs w:val="32"/>
          <w:highlight w:val="none"/>
        </w:rPr>
      </w:pPr>
      <w:r>
        <w:rPr>
          <w:rFonts w:hint="eastAsia" w:ascii="仿宋_GB2312" w:hAnsi="仿宋" w:eastAsia="仿宋_GB2312" w:cs="宋体"/>
          <w:kern w:val="2"/>
          <w:sz w:val="32"/>
          <w:szCs w:val="32"/>
          <w:highlight w:val="none"/>
        </w:rPr>
        <w:t>比选申请人：</w:t>
      </w:r>
      <w:r>
        <w:rPr>
          <w:rFonts w:ascii="仿宋_GB2312" w:hAnsi="仿宋" w:eastAsia="仿宋_GB2312" w:cs="宋体"/>
          <w:kern w:val="2"/>
          <w:sz w:val="32"/>
          <w:szCs w:val="32"/>
          <w:highlight w:val="none"/>
          <w:u w:val="none"/>
        </w:rPr>
        <w:t xml:space="preserve"> </w:t>
      </w:r>
      <w:r>
        <w:rPr>
          <w:rFonts w:hint="eastAsia" w:ascii="仿宋_GB2312" w:hAnsi="仿宋" w:eastAsia="仿宋_GB2312" w:cs="宋体"/>
          <w:kern w:val="2"/>
          <w:sz w:val="32"/>
          <w:szCs w:val="32"/>
          <w:highlight w:val="none"/>
        </w:rPr>
        <w:t>（盖单位行政公章）</w:t>
      </w:r>
    </w:p>
    <w:p>
      <w:pPr>
        <w:widowControl/>
        <w:shd w:val="clear" w:color="auto" w:fill="FFFFFF"/>
        <w:spacing w:line="360" w:lineRule="auto"/>
        <w:ind w:left="0" w:firstLine="640" w:firstLineChars="200"/>
        <w:rPr>
          <w:rFonts w:ascii="仿宋_GB2312" w:hAnsi="仿宋" w:eastAsia="仿宋_GB2312" w:cs="宋体"/>
          <w:kern w:val="2"/>
          <w:sz w:val="32"/>
          <w:szCs w:val="32"/>
          <w:highlight w:val="none"/>
        </w:rPr>
      </w:pPr>
    </w:p>
    <w:p>
      <w:pPr>
        <w:widowControl/>
        <w:shd w:val="clear" w:color="auto" w:fill="FFFFFF"/>
        <w:spacing w:line="360" w:lineRule="auto"/>
        <w:ind w:firstLine="640" w:firstLineChars="200"/>
        <w:rPr>
          <w:rFonts w:ascii="仿宋_GB2312" w:hAnsi="仿宋" w:eastAsia="仿宋_GB2312" w:cs="宋体"/>
          <w:kern w:val="2"/>
          <w:sz w:val="32"/>
          <w:szCs w:val="32"/>
          <w:highlight w:val="none"/>
        </w:rPr>
      </w:pPr>
      <w:r>
        <w:rPr>
          <w:rFonts w:hint="eastAsia" w:ascii="仿宋_GB2312" w:hAnsi="仿宋" w:eastAsia="仿宋_GB2312" w:cs="宋体"/>
          <w:kern w:val="2"/>
          <w:sz w:val="32"/>
          <w:szCs w:val="32"/>
          <w:highlight w:val="none"/>
        </w:rPr>
        <w:t>法定代表人或其委托代理人：（签字）</w:t>
      </w:r>
    </w:p>
    <w:p>
      <w:pPr>
        <w:widowControl/>
        <w:shd w:val="clear" w:color="auto" w:fill="FFFFFF"/>
        <w:spacing w:line="360" w:lineRule="auto"/>
        <w:ind w:left="0" w:firstLine="640" w:firstLineChars="200"/>
        <w:rPr>
          <w:rFonts w:ascii="仿宋_GB2312" w:hAnsi="仿宋" w:eastAsia="仿宋_GB2312" w:cs="宋体"/>
          <w:kern w:val="2"/>
          <w:sz w:val="32"/>
          <w:szCs w:val="32"/>
          <w:highlight w:val="none"/>
        </w:rPr>
      </w:pPr>
    </w:p>
    <w:p>
      <w:pPr>
        <w:widowControl/>
        <w:shd w:val="clear" w:color="auto" w:fill="FFFFFF"/>
        <w:spacing w:line="360" w:lineRule="auto"/>
        <w:ind w:firstLine="640" w:firstLineChars="200"/>
        <w:rPr>
          <w:rFonts w:hint="eastAsia" w:ascii="仿宋_GB2312" w:hAnsi="仿宋" w:eastAsia="仿宋_GB2312" w:cs="Arial"/>
          <w:kern w:val="0"/>
          <w:sz w:val="32"/>
          <w:szCs w:val="32"/>
          <w:highlight w:val="none"/>
        </w:rPr>
      </w:pPr>
      <w:r>
        <w:rPr>
          <w:rFonts w:ascii="仿宋_GB2312" w:hAnsi="仿宋" w:eastAsia="仿宋_GB2312" w:cs="Arial"/>
          <w:kern w:val="0"/>
          <w:sz w:val="32"/>
          <w:szCs w:val="32"/>
          <w:highlight w:val="none"/>
        </w:rPr>
        <w:t xml:space="preserve"> </w:t>
      </w:r>
      <w:r>
        <w:rPr>
          <w:rFonts w:hint="eastAsia" w:ascii="仿宋_GB2312" w:hAnsi="仿宋" w:eastAsia="仿宋_GB2312" w:cs="Arial"/>
          <w:kern w:val="0"/>
          <w:sz w:val="32"/>
          <w:szCs w:val="32"/>
          <w:highlight w:val="none"/>
        </w:rPr>
        <w:t>年</w:t>
      </w:r>
      <w:r>
        <w:rPr>
          <w:rFonts w:ascii="仿宋_GB2312" w:hAnsi="仿宋" w:eastAsia="仿宋_GB2312" w:cs="Arial"/>
          <w:kern w:val="0"/>
          <w:sz w:val="32"/>
          <w:szCs w:val="32"/>
          <w:highlight w:val="none"/>
        </w:rPr>
        <w:t xml:space="preserve">  </w:t>
      </w:r>
      <w:r>
        <w:rPr>
          <w:rFonts w:hint="eastAsia" w:ascii="仿宋_GB2312" w:hAnsi="仿宋" w:eastAsia="仿宋_GB2312" w:cs="Arial"/>
          <w:kern w:val="0"/>
          <w:sz w:val="32"/>
          <w:szCs w:val="32"/>
          <w:highlight w:val="none"/>
        </w:rPr>
        <w:t>月</w:t>
      </w:r>
      <w:r>
        <w:rPr>
          <w:rFonts w:ascii="仿宋_GB2312" w:hAnsi="仿宋" w:eastAsia="仿宋_GB2312" w:cs="Arial"/>
          <w:kern w:val="0"/>
          <w:sz w:val="32"/>
          <w:szCs w:val="32"/>
          <w:highlight w:val="none"/>
        </w:rPr>
        <w:t xml:space="preserve">  </w:t>
      </w:r>
      <w:r>
        <w:rPr>
          <w:rFonts w:hint="eastAsia" w:ascii="仿宋_GB2312" w:hAnsi="仿宋" w:eastAsia="仿宋_GB2312" w:cs="Arial"/>
          <w:kern w:val="0"/>
          <w:sz w:val="32"/>
          <w:szCs w:val="32"/>
          <w:highlight w:val="none"/>
        </w:rPr>
        <w:t>日</w:t>
      </w:r>
    </w:p>
    <w:p>
      <w:pPr>
        <w:pStyle w:val="2"/>
        <w:rPr>
          <w:rFonts w:hint="eastAsia" w:ascii="仿宋_GB2312" w:hAnsi="仿宋" w:eastAsia="仿宋_GB2312" w:cs="Arial"/>
          <w:kern w:val="0"/>
          <w:sz w:val="32"/>
          <w:szCs w:val="32"/>
          <w:highlight w:val="none"/>
        </w:rPr>
      </w:pPr>
    </w:p>
    <w:p>
      <w:pPr>
        <w:pStyle w:val="5"/>
        <w:rPr>
          <w:rFonts w:hint="eastAsia" w:ascii="黑体" w:hAnsi="黑体" w:eastAsia="黑体" w:cs="黑体"/>
          <w:sz w:val="32"/>
          <w:szCs w:val="32"/>
          <w:highlight w:val="none"/>
        </w:rPr>
      </w:pPr>
      <w:bookmarkStart w:id="149" w:name="_Toc26436"/>
      <w:bookmarkStart w:id="150" w:name="_Toc25268"/>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十</w:t>
      </w:r>
      <w:r>
        <w:rPr>
          <w:rFonts w:hint="eastAsia" w:ascii="黑体" w:hAnsi="黑体" w:eastAsia="黑体" w:cs="黑体"/>
          <w:sz w:val="32"/>
          <w:szCs w:val="32"/>
          <w:highlight w:val="none"/>
        </w:rPr>
        <w:t>：项目工作安排及时间进度表</w:t>
      </w:r>
      <w:bookmarkEnd w:id="149"/>
      <w:bookmarkEnd w:id="150"/>
    </w:p>
    <w:p>
      <w:pPr>
        <w:widowControl/>
        <w:shd w:val="clear" w:color="auto" w:fill="FFFFFF"/>
        <w:spacing w:line="360" w:lineRule="auto"/>
        <w:ind w:firstLine="480"/>
        <w:rPr>
          <w:rFonts w:ascii="仿宋_GB2312" w:eastAsia="仿宋_GB2312" w:cs="Arial" w:hAnsiTheme="majorEastAsia"/>
          <w:kern w:val="0"/>
          <w:sz w:val="30"/>
          <w:szCs w:val="30"/>
          <w:highlight w:val="none"/>
        </w:rPr>
      </w:pPr>
      <w:r>
        <w:rPr>
          <w:rFonts w:hint="eastAsia" w:ascii="仿宋_GB2312" w:eastAsia="仿宋_GB2312" w:cs="Arial" w:hAnsiTheme="majorEastAsia"/>
          <w:kern w:val="0"/>
          <w:sz w:val="30"/>
          <w:szCs w:val="30"/>
          <w:highlight w:val="none"/>
        </w:rPr>
        <w:t>请按照比选文件要求提供相应材料，格式自拟。</w:t>
      </w:r>
    </w:p>
    <w:p>
      <w:pPr>
        <w:pStyle w:val="4"/>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CDB42"/>
    <w:multiLevelType w:val="singleLevel"/>
    <w:tmpl w:val="5ECCDB4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78"/>
    <w:rsid w:val="00015CEB"/>
    <w:rsid w:val="00097F62"/>
    <w:rsid w:val="000D10A8"/>
    <w:rsid w:val="00160267"/>
    <w:rsid w:val="001B5661"/>
    <w:rsid w:val="001C0947"/>
    <w:rsid w:val="00202D94"/>
    <w:rsid w:val="002436B6"/>
    <w:rsid w:val="003D0BAD"/>
    <w:rsid w:val="00463740"/>
    <w:rsid w:val="004847D2"/>
    <w:rsid w:val="005108DA"/>
    <w:rsid w:val="00545D10"/>
    <w:rsid w:val="00602371"/>
    <w:rsid w:val="00635FC6"/>
    <w:rsid w:val="006402FC"/>
    <w:rsid w:val="00655286"/>
    <w:rsid w:val="00711252"/>
    <w:rsid w:val="00730B70"/>
    <w:rsid w:val="007E27AB"/>
    <w:rsid w:val="00887659"/>
    <w:rsid w:val="008B46D4"/>
    <w:rsid w:val="009756C5"/>
    <w:rsid w:val="009763E0"/>
    <w:rsid w:val="00A50676"/>
    <w:rsid w:val="00AF682B"/>
    <w:rsid w:val="00B14E77"/>
    <w:rsid w:val="00B52578"/>
    <w:rsid w:val="00B56668"/>
    <w:rsid w:val="00B97313"/>
    <w:rsid w:val="00C34DB2"/>
    <w:rsid w:val="00CA59E2"/>
    <w:rsid w:val="00CB499C"/>
    <w:rsid w:val="00CC14E9"/>
    <w:rsid w:val="00D05ECD"/>
    <w:rsid w:val="00D34130"/>
    <w:rsid w:val="00DB381B"/>
    <w:rsid w:val="00E23FBB"/>
    <w:rsid w:val="01295B6A"/>
    <w:rsid w:val="014E06CD"/>
    <w:rsid w:val="017447D9"/>
    <w:rsid w:val="01864E54"/>
    <w:rsid w:val="01EB2E98"/>
    <w:rsid w:val="02103CB2"/>
    <w:rsid w:val="027500DE"/>
    <w:rsid w:val="02C84832"/>
    <w:rsid w:val="02FD76AE"/>
    <w:rsid w:val="031A7503"/>
    <w:rsid w:val="03452ECB"/>
    <w:rsid w:val="034C5D35"/>
    <w:rsid w:val="03AB4D6A"/>
    <w:rsid w:val="03B06F5E"/>
    <w:rsid w:val="043F4B6B"/>
    <w:rsid w:val="05FD6754"/>
    <w:rsid w:val="06367444"/>
    <w:rsid w:val="065603D6"/>
    <w:rsid w:val="066F0493"/>
    <w:rsid w:val="06742DF6"/>
    <w:rsid w:val="06D05699"/>
    <w:rsid w:val="06E61DAA"/>
    <w:rsid w:val="07644B11"/>
    <w:rsid w:val="07932AE9"/>
    <w:rsid w:val="07C92DEE"/>
    <w:rsid w:val="084F3BF3"/>
    <w:rsid w:val="08715E7A"/>
    <w:rsid w:val="08765548"/>
    <w:rsid w:val="088219A0"/>
    <w:rsid w:val="0886498C"/>
    <w:rsid w:val="08C73873"/>
    <w:rsid w:val="09726EE0"/>
    <w:rsid w:val="09FC1A67"/>
    <w:rsid w:val="0A31146D"/>
    <w:rsid w:val="0A542243"/>
    <w:rsid w:val="0A591005"/>
    <w:rsid w:val="0AD60739"/>
    <w:rsid w:val="0AE72B7F"/>
    <w:rsid w:val="0AF63D7E"/>
    <w:rsid w:val="0B2240B7"/>
    <w:rsid w:val="0B8F1D13"/>
    <w:rsid w:val="0C05596A"/>
    <w:rsid w:val="0C2370B6"/>
    <w:rsid w:val="0C266739"/>
    <w:rsid w:val="0C61777B"/>
    <w:rsid w:val="0D300F49"/>
    <w:rsid w:val="0D46600A"/>
    <w:rsid w:val="0D642CC2"/>
    <w:rsid w:val="0DF50C63"/>
    <w:rsid w:val="0DFB4B66"/>
    <w:rsid w:val="0E1D5406"/>
    <w:rsid w:val="0E5C316E"/>
    <w:rsid w:val="0EBD7B4B"/>
    <w:rsid w:val="0EBE0E5A"/>
    <w:rsid w:val="0EE96230"/>
    <w:rsid w:val="0F067AF6"/>
    <w:rsid w:val="0F264CEE"/>
    <w:rsid w:val="0F512BEB"/>
    <w:rsid w:val="0F5B340A"/>
    <w:rsid w:val="0F5F19BB"/>
    <w:rsid w:val="0F9F28E4"/>
    <w:rsid w:val="100776C7"/>
    <w:rsid w:val="100D10B2"/>
    <w:rsid w:val="101D717F"/>
    <w:rsid w:val="10565E13"/>
    <w:rsid w:val="10A836C6"/>
    <w:rsid w:val="10BA008F"/>
    <w:rsid w:val="10D0692F"/>
    <w:rsid w:val="11106AF1"/>
    <w:rsid w:val="112858E2"/>
    <w:rsid w:val="11B54FE6"/>
    <w:rsid w:val="121B052F"/>
    <w:rsid w:val="12393B70"/>
    <w:rsid w:val="12810212"/>
    <w:rsid w:val="12EB36E0"/>
    <w:rsid w:val="132835E9"/>
    <w:rsid w:val="13BD0A42"/>
    <w:rsid w:val="13F80227"/>
    <w:rsid w:val="140F4F2C"/>
    <w:rsid w:val="14803C12"/>
    <w:rsid w:val="17153A5F"/>
    <w:rsid w:val="17473359"/>
    <w:rsid w:val="174F7CCB"/>
    <w:rsid w:val="17541BF0"/>
    <w:rsid w:val="175463E9"/>
    <w:rsid w:val="18351016"/>
    <w:rsid w:val="184F35EA"/>
    <w:rsid w:val="18721AE5"/>
    <w:rsid w:val="18863F3F"/>
    <w:rsid w:val="188E23C8"/>
    <w:rsid w:val="18E20DC1"/>
    <w:rsid w:val="190F3DD3"/>
    <w:rsid w:val="195549FD"/>
    <w:rsid w:val="19776C21"/>
    <w:rsid w:val="19B8585A"/>
    <w:rsid w:val="1A1C32ED"/>
    <w:rsid w:val="1A26264A"/>
    <w:rsid w:val="1AE553DD"/>
    <w:rsid w:val="1C6678C3"/>
    <w:rsid w:val="1C76318D"/>
    <w:rsid w:val="1DF64DA3"/>
    <w:rsid w:val="1E236CD7"/>
    <w:rsid w:val="1E2856E9"/>
    <w:rsid w:val="1E3B2EA3"/>
    <w:rsid w:val="1E7339D7"/>
    <w:rsid w:val="1EB33C15"/>
    <w:rsid w:val="1EDF35AF"/>
    <w:rsid w:val="1EF9206D"/>
    <w:rsid w:val="1EFD159F"/>
    <w:rsid w:val="1F2B15A2"/>
    <w:rsid w:val="1F776F15"/>
    <w:rsid w:val="1F871A99"/>
    <w:rsid w:val="1F9A523C"/>
    <w:rsid w:val="1FBB761D"/>
    <w:rsid w:val="1FC80226"/>
    <w:rsid w:val="20D16B23"/>
    <w:rsid w:val="20D57DE3"/>
    <w:rsid w:val="20DD1FD4"/>
    <w:rsid w:val="20E05BEB"/>
    <w:rsid w:val="2138594D"/>
    <w:rsid w:val="214601D2"/>
    <w:rsid w:val="21BA7F33"/>
    <w:rsid w:val="21EB08D7"/>
    <w:rsid w:val="21F8189B"/>
    <w:rsid w:val="22A7554B"/>
    <w:rsid w:val="22E60187"/>
    <w:rsid w:val="23144B6F"/>
    <w:rsid w:val="232A1B5C"/>
    <w:rsid w:val="2385050F"/>
    <w:rsid w:val="238D17F4"/>
    <w:rsid w:val="239B0AB5"/>
    <w:rsid w:val="23AC562A"/>
    <w:rsid w:val="23CF44C8"/>
    <w:rsid w:val="240B5B2B"/>
    <w:rsid w:val="241F664E"/>
    <w:rsid w:val="242E2EC3"/>
    <w:rsid w:val="253B2101"/>
    <w:rsid w:val="259764E3"/>
    <w:rsid w:val="263A42DC"/>
    <w:rsid w:val="26631A1C"/>
    <w:rsid w:val="268D24D6"/>
    <w:rsid w:val="26DE306E"/>
    <w:rsid w:val="276102F5"/>
    <w:rsid w:val="27B400D6"/>
    <w:rsid w:val="27CE2A04"/>
    <w:rsid w:val="27D23EAE"/>
    <w:rsid w:val="28C77C2E"/>
    <w:rsid w:val="28EA21D7"/>
    <w:rsid w:val="296F69EB"/>
    <w:rsid w:val="29C815C7"/>
    <w:rsid w:val="2A142066"/>
    <w:rsid w:val="2A714C71"/>
    <w:rsid w:val="2AA05FB4"/>
    <w:rsid w:val="2ABD4319"/>
    <w:rsid w:val="2AEC7F33"/>
    <w:rsid w:val="2B5F0BFF"/>
    <w:rsid w:val="2B9B65EC"/>
    <w:rsid w:val="2B9D7D21"/>
    <w:rsid w:val="2BAC3FCA"/>
    <w:rsid w:val="2BC81B01"/>
    <w:rsid w:val="2BE63FC1"/>
    <w:rsid w:val="2C126B72"/>
    <w:rsid w:val="2C2B0A34"/>
    <w:rsid w:val="2C440008"/>
    <w:rsid w:val="2C4B67F0"/>
    <w:rsid w:val="2C527E90"/>
    <w:rsid w:val="2C7533CC"/>
    <w:rsid w:val="2D0C7757"/>
    <w:rsid w:val="2D6435E5"/>
    <w:rsid w:val="2DC7373F"/>
    <w:rsid w:val="2E066CD2"/>
    <w:rsid w:val="2E1337AC"/>
    <w:rsid w:val="2E87236E"/>
    <w:rsid w:val="2EB45015"/>
    <w:rsid w:val="2ED23C1D"/>
    <w:rsid w:val="2EED1C4D"/>
    <w:rsid w:val="2F527761"/>
    <w:rsid w:val="2F5E5FF1"/>
    <w:rsid w:val="2F600F36"/>
    <w:rsid w:val="2FF72304"/>
    <w:rsid w:val="30040328"/>
    <w:rsid w:val="303A7DAA"/>
    <w:rsid w:val="308D7AEB"/>
    <w:rsid w:val="30EE436C"/>
    <w:rsid w:val="310B2666"/>
    <w:rsid w:val="313C2E66"/>
    <w:rsid w:val="31F86DAE"/>
    <w:rsid w:val="32B05499"/>
    <w:rsid w:val="32CB4EED"/>
    <w:rsid w:val="33BA6779"/>
    <w:rsid w:val="33C129A1"/>
    <w:rsid w:val="33D56F03"/>
    <w:rsid w:val="33F65A1E"/>
    <w:rsid w:val="3458364B"/>
    <w:rsid w:val="34917C77"/>
    <w:rsid w:val="34F201FA"/>
    <w:rsid w:val="356400C4"/>
    <w:rsid w:val="35703B5D"/>
    <w:rsid w:val="358A715F"/>
    <w:rsid w:val="35D5599A"/>
    <w:rsid w:val="360424ED"/>
    <w:rsid w:val="36084373"/>
    <w:rsid w:val="361D549C"/>
    <w:rsid w:val="36330440"/>
    <w:rsid w:val="363515FE"/>
    <w:rsid w:val="36545F8D"/>
    <w:rsid w:val="36572B77"/>
    <w:rsid w:val="3680418B"/>
    <w:rsid w:val="368C5A64"/>
    <w:rsid w:val="36D317CE"/>
    <w:rsid w:val="36E50A82"/>
    <w:rsid w:val="37190AA9"/>
    <w:rsid w:val="374D4577"/>
    <w:rsid w:val="37B8480D"/>
    <w:rsid w:val="37F83FEA"/>
    <w:rsid w:val="38425AD6"/>
    <w:rsid w:val="39992CB1"/>
    <w:rsid w:val="39F265A5"/>
    <w:rsid w:val="3A423BC5"/>
    <w:rsid w:val="3A7F1F17"/>
    <w:rsid w:val="3B247741"/>
    <w:rsid w:val="3B5306A1"/>
    <w:rsid w:val="3B6C3BDC"/>
    <w:rsid w:val="3B9C0933"/>
    <w:rsid w:val="3C166222"/>
    <w:rsid w:val="3C6D472F"/>
    <w:rsid w:val="3C977DF3"/>
    <w:rsid w:val="3CD15124"/>
    <w:rsid w:val="3CFE2CD3"/>
    <w:rsid w:val="3D11581B"/>
    <w:rsid w:val="3D5279F3"/>
    <w:rsid w:val="3D5F0A51"/>
    <w:rsid w:val="3D861825"/>
    <w:rsid w:val="3DB336F8"/>
    <w:rsid w:val="3DED0AAB"/>
    <w:rsid w:val="3E17369D"/>
    <w:rsid w:val="3E32493C"/>
    <w:rsid w:val="3E781AEB"/>
    <w:rsid w:val="3EC74E61"/>
    <w:rsid w:val="3EEE62FF"/>
    <w:rsid w:val="3F590583"/>
    <w:rsid w:val="3FD76919"/>
    <w:rsid w:val="40166BFA"/>
    <w:rsid w:val="40391558"/>
    <w:rsid w:val="404463A2"/>
    <w:rsid w:val="40586882"/>
    <w:rsid w:val="40647832"/>
    <w:rsid w:val="40714B3E"/>
    <w:rsid w:val="40B6657E"/>
    <w:rsid w:val="40DC7B1D"/>
    <w:rsid w:val="4144537C"/>
    <w:rsid w:val="414746B1"/>
    <w:rsid w:val="416C6C2E"/>
    <w:rsid w:val="416F2DA1"/>
    <w:rsid w:val="41AB4CB3"/>
    <w:rsid w:val="41B270D6"/>
    <w:rsid w:val="41CD4AA7"/>
    <w:rsid w:val="42492B17"/>
    <w:rsid w:val="42535F1C"/>
    <w:rsid w:val="42AE6CC6"/>
    <w:rsid w:val="42C15D9F"/>
    <w:rsid w:val="42C850C4"/>
    <w:rsid w:val="42CF3F13"/>
    <w:rsid w:val="42D04DBE"/>
    <w:rsid w:val="442F66CF"/>
    <w:rsid w:val="447A4BF2"/>
    <w:rsid w:val="4480223A"/>
    <w:rsid w:val="44CA3E2C"/>
    <w:rsid w:val="44D4202D"/>
    <w:rsid w:val="44E00C12"/>
    <w:rsid w:val="44FD33CD"/>
    <w:rsid w:val="451D0B21"/>
    <w:rsid w:val="453326B6"/>
    <w:rsid w:val="456338D8"/>
    <w:rsid w:val="4567189F"/>
    <w:rsid w:val="459A6D51"/>
    <w:rsid w:val="45AE7B0F"/>
    <w:rsid w:val="460A5B4A"/>
    <w:rsid w:val="466C20B5"/>
    <w:rsid w:val="474155A0"/>
    <w:rsid w:val="477D1E5B"/>
    <w:rsid w:val="47AF109A"/>
    <w:rsid w:val="47F52138"/>
    <w:rsid w:val="487E4CC5"/>
    <w:rsid w:val="488B737D"/>
    <w:rsid w:val="48B06CD1"/>
    <w:rsid w:val="4975236D"/>
    <w:rsid w:val="498A3F1B"/>
    <w:rsid w:val="49A25ED2"/>
    <w:rsid w:val="49EE3A08"/>
    <w:rsid w:val="4A305059"/>
    <w:rsid w:val="4A666ECA"/>
    <w:rsid w:val="4AB1088D"/>
    <w:rsid w:val="4ADD6F00"/>
    <w:rsid w:val="4B0135A9"/>
    <w:rsid w:val="4B5B6880"/>
    <w:rsid w:val="4B937797"/>
    <w:rsid w:val="4BC453FD"/>
    <w:rsid w:val="4C9E12FB"/>
    <w:rsid w:val="4CA65F26"/>
    <w:rsid w:val="4CAB66EB"/>
    <w:rsid w:val="4D3455F6"/>
    <w:rsid w:val="4EA52DB2"/>
    <w:rsid w:val="4F5917B1"/>
    <w:rsid w:val="510B1D07"/>
    <w:rsid w:val="51121CCF"/>
    <w:rsid w:val="514A6717"/>
    <w:rsid w:val="5162766A"/>
    <w:rsid w:val="51A074A4"/>
    <w:rsid w:val="51A86AAB"/>
    <w:rsid w:val="51E23F6D"/>
    <w:rsid w:val="51E8096E"/>
    <w:rsid w:val="52173F4C"/>
    <w:rsid w:val="52497E99"/>
    <w:rsid w:val="526D4124"/>
    <w:rsid w:val="52F72AE3"/>
    <w:rsid w:val="533B0FD8"/>
    <w:rsid w:val="5346757A"/>
    <w:rsid w:val="53957BAA"/>
    <w:rsid w:val="53D273DB"/>
    <w:rsid w:val="54B47767"/>
    <w:rsid w:val="550227D2"/>
    <w:rsid w:val="55030E54"/>
    <w:rsid w:val="554170BF"/>
    <w:rsid w:val="55445867"/>
    <w:rsid w:val="55A03221"/>
    <w:rsid w:val="55DF0C47"/>
    <w:rsid w:val="55E42AA5"/>
    <w:rsid w:val="56247F99"/>
    <w:rsid w:val="563C6FFB"/>
    <w:rsid w:val="56644491"/>
    <w:rsid w:val="56761467"/>
    <w:rsid w:val="56860D3E"/>
    <w:rsid w:val="57261C00"/>
    <w:rsid w:val="5741486C"/>
    <w:rsid w:val="575C3A90"/>
    <w:rsid w:val="57D15D08"/>
    <w:rsid w:val="58446051"/>
    <w:rsid w:val="58526C03"/>
    <w:rsid w:val="58B749DD"/>
    <w:rsid w:val="58D64A08"/>
    <w:rsid w:val="58D75F55"/>
    <w:rsid w:val="59006558"/>
    <w:rsid w:val="592D7B2F"/>
    <w:rsid w:val="5944319F"/>
    <w:rsid w:val="59562199"/>
    <w:rsid w:val="5A0B51D8"/>
    <w:rsid w:val="5A3D3338"/>
    <w:rsid w:val="5A3F0002"/>
    <w:rsid w:val="5AA740CD"/>
    <w:rsid w:val="5AF25C63"/>
    <w:rsid w:val="5BBD49A1"/>
    <w:rsid w:val="5BD67235"/>
    <w:rsid w:val="5BF41820"/>
    <w:rsid w:val="5C247BD5"/>
    <w:rsid w:val="5C88379D"/>
    <w:rsid w:val="5CBA2687"/>
    <w:rsid w:val="5CC1229C"/>
    <w:rsid w:val="5CE87188"/>
    <w:rsid w:val="5D170D21"/>
    <w:rsid w:val="5D1C77F1"/>
    <w:rsid w:val="5D5E3BA4"/>
    <w:rsid w:val="5D737801"/>
    <w:rsid w:val="5E184828"/>
    <w:rsid w:val="5E2858F6"/>
    <w:rsid w:val="5E60154B"/>
    <w:rsid w:val="5EAB6C54"/>
    <w:rsid w:val="5F214F8E"/>
    <w:rsid w:val="5F532131"/>
    <w:rsid w:val="5F570590"/>
    <w:rsid w:val="5FBE032A"/>
    <w:rsid w:val="5FC40411"/>
    <w:rsid w:val="60036883"/>
    <w:rsid w:val="60A2114D"/>
    <w:rsid w:val="60FF321D"/>
    <w:rsid w:val="61254CEB"/>
    <w:rsid w:val="61500301"/>
    <w:rsid w:val="61623FE0"/>
    <w:rsid w:val="617F2886"/>
    <w:rsid w:val="622C0CD1"/>
    <w:rsid w:val="62386171"/>
    <w:rsid w:val="62C42730"/>
    <w:rsid w:val="62F54024"/>
    <w:rsid w:val="630805F8"/>
    <w:rsid w:val="631D23D0"/>
    <w:rsid w:val="63680969"/>
    <w:rsid w:val="63D101CA"/>
    <w:rsid w:val="64320BBE"/>
    <w:rsid w:val="644B696D"/>
    <w:rsid w:val="6453257A"/>
    <w:rsid w:val="649250AF"/>
    <w:rsid w:val="649715A4"/>
    <w:rsid w:val="64D1218C"/>
    <w:rsid w:val="64DC2824"/>
    <w:rsid w:val="65C53D96"/>
    <w:rsid w:val="66643238"/>
    <w:rsid w:val="666A46F3"/>
    <w:rsid w:val="66753AAC"/>
    <w:rsid w:val="667918DC"/>
    <w:rsid w:val="667B5DDC"/>
    <w:rsid w:val="66AA40C9"/>
    <w:rsid w:val="66B730F0"/>
    <w:rsid w:val="67057C56"/>
    <w:rsid w:val="67392E97"/>
    <w:rsid w:val="67E875C2"/>
    <w:rsid w:val="68281DAD"/>
    <w:rsid w:val="68D46C88"/>
    <w:rsid w:val="6907101B"/>
    <w:rsid w:val="690B52B1"/>
    <w:rsid w:val="692F2675"/>
    <w:rsid w:val="6968044C"/>
    <w:rsid w:val="69E17098"/>
    <w:rsid w:val="69E37EE2"/>
    <w:rsid w:val="69FA4B8E"/>
    <w:rsid w:val="6A557077"/>
    <w:rsid w:val="6A820119"/>
    <w:rsid w:val="6A882139"/>
    <w:rsid w:val="6BA809A9"/>
    <w:rsid w:val="6BB76CC8"/>
    <w:rsid w:val="6C3914F7"/>
    <w:rsid w:val="6CBF2A2B"/>
    <w:rsid w:val="6CCE2209"/>
    <w:rsid w:val="6CFD6862"/>
    <w:rsid w:val="6D0013BF"/>
    <w:rsid w:val="6D4C33AB"/>
    <w:rsid w:val="6D673A4C"/>
    <w:rsid w:val="6DD027D6"/>
    <w:rsid w:val="6E0C3BFA"/>
    <w:rsid w:val="6E103A6F"/>
    <w:rsid w:val="6E824060"/>
    <w:rsid w:val="6F131D86"/>
    <w:rsid w:val="6FB4338A"/>
    <w:rsid w:val="6FC24841"/>
    <w:rsid w:val="6FCC3ABE"/>
    <w:rsid w:val="6FCE0094"/>
    <w:rsid w:val="6FED27BF"/>
    <w:rsid w:val="6FF02B43"/>
    <w:rsid w:val="711F0ED7"/>
    <w:rsid w:val="7123147C"/>
    <w:rsid w:val="713365D3"/>
    <w:rsid w:val="717027E7"/>
    <w:rsid w:val="718D183C"/>
    <w:rsid w:val="71E83D28"/>
    <w:rsid w:val="720F6767"/>
    <w:rsid w:val="72383266"/>
    <w:rsid w:val="72670914"/>
    <w:rsid w:val="7273493C"/>
    <w:rsid w:val="736C72D6"/>
    <w:rsid w:val="73801F02"/>
    <w:rsid w:val="73B10A97"/>
    <w:rsid w:val="73F63CE3"/>
    <w:rsid w:val="73F82157"/>
    <w:rsid w:val="741E5290"/>
    <w:rsid w:val="745E6067"/>
    <w:rsid w:val="74AD6954"/>
    <w:rsid w:val="74AE5B97"/>
    <w:rsid w:val="753339A6"/>
    <w:rsid w:val="757B6E0F"/>
    <w:rsid w:val="7709785E"/>
    <w:rsid w:val="77370803"/>
    <w:rsid w:val="773C4D80"/>
    <w:rsid w:val="778B127C"/>
    <w:rsid w:val="77CB0890"/>
    <w:rsid w:val="78776DB5"/>
    <w:rsid w:val="797E6D65"/>
    <w:rsid w:val="79926C77"/>
    <w:rsid w:val="79AC7AF6"/>
    <w:rsid w:val="79F36DC0"/>
    <w:rsid w:val="7A121A76"/>
    <w:rsid w:val="7A393CCB"/>
    <w:rsid w:val="7A493660"/>
    <w:rsid w:val="7ABB71CC"/>
    <w:rsid w:val="7B0A017D"/>
    <w:rsid w:val="7B0E0C07"/>
    <w:rsid w:val="7C1573B0"/>
    <w:rsid w:val="7C590E18"/>
    <w:rsid w:val="7C851076"/>
    <w:rsid w:val="7CE44D44"/>
    <w:rsid w:val="7D191A9D"/>
    <w:rsid w:val="7D6453CC"/>
    <w:rsid w:val="7D7A65E3"/>
    <w:rsid w:val="7DB40F7E"/>
    <w:rsid w:val="7DCC4C45"/>
    <w:rsid w:val="7DD90E7C"/>
    <w:rsid w:val="7DFD0F4A"/>
    <w:rsid w:val="7EB45E41"/>
    <w:rsid w:val="7F873B8D"/>
    <w:rsid w:val="7F9F4F6B"/>
    <w:rsid w:val="7FA2735B"/>
    <w:rsid w:val="7FF46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0"/>
    <w:pPr>
      <w:spacing w:line="560" w:lineRule="exact"/>
      <w:jc w:val="center"/>
    </w:pPr>
    <w:rPr>
      <w:rFonts w:ascii="方正小标宋简体" w:eastAsia="方正小标宋简体"/>
      <w:sz w:val="44"/>
      <w:szCs w:val="32"/>
    </w:rPr>
  </w:style>
  <w:style w:type="paragraph" w:styleId="7">
    <w:name w:val="toc 7"/>
    <w:basedOn w:val="1"/>
    <w:next w:val="1"/>
    <w:qFormat/>
    <w:uiPriority w:val="0"/>
    <w:pPr>
      <w:ind w:left="2520" w:leftChars="1200"/>
    </w:pPr>
  </w:style>
  <w:style w:type="paragraph" w:styleId="8">
    <w:name w:val="annotation text"/>
    <w:basedOn w:val="1"/>
    <w:qFormat/>
    <w:uiPriority w:val="0"/>
    <w:pPr>
      <w:jc w:val="left"/>
    </w:p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toc 8"/>
    <w:basedOn w:val="1"/>
    <w:next w:val="1"/>
    <w:qFormat/>
    <w:uiPriority w:val="0"/>
    <w:pPr>
      <w:ind w:left="2940" w:leftChars="1400"/>
    </w:pPr>
  </w:style>
  <w:style w:type="paragraph" w:styleId="12">
    <w:name w:val="Balloon Text"/>
    <w:basedOn w:val="1"/>
    <w:link w:val="28"/>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styleId="20">
    <w:name w:val="Normal (Web)"/>
    <w:basedOn w:val="1"/>
    <w:qFormat/>
    <w:uiPriority w:val="0"/>
    <w:pPr>
      <w:spacing w:beforeAutospacing="1" w:afterAutospacing="1"/>
      <w:jc w:val="left"/>
    </w:pPr>
    <w:rPr>
      <w:rFonts w:cs="Times New Roman"/>
      <w:kern w:val="0"/>
      <w:sz w:val="24"/>
      <w:szCs w:val="24"/>
    </w:rPr>
  </w:style>
  <w:style w:type="character" w:styleId="23">
    <w:name w:val="Strong"/>
    <w:basedOn w:val="22"/>
    <w:qFormat/>
    <w:uiPriority w:val="0"/>
    <w:rPr>
      <w:b/>
    </w:rPr>
  </w:style>
  <w:style w:type="character" w:styleId="24">
    <w:name w:val="annotation reference"/>
    <w:basedOn w:val="22"/>
    <w:qFormat/>
    <w:uiPriority w:val="0"/>
    <w:rPr>
      <w:sz w:val="21"/>
      <w:szCs w:val="21"/>
    </w:rPr>
  </w:style>
  <w:style w:type="paragraph" w:customStyle="1" w:styleId="25">
    <w:name w:val="列出段落1"/>
    <w:basedOn w:val="1"/>
    <w:qFormat/>
    <w:uiPriority w:val="34"/>
    <w:pPr>
      <w:ind w:firstLine="420" w:firstLineChars="200"/>
    </w:pPr>
    <w:rPr>
      <w:rFonts w:asciiTheme="minorHAnsi" w:hAnsiTheme="minorHAnsi" w:eastAsiaTheme="minorEastAsia" w:cstheme="minorBidi"/>
    </w:rPr>
  </w:style>
  <w:style w:type="paragraph" w:customStyle="1" w:styleId="2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批注框文本 字符"/>
    <w:basedOn w:val="22"/>
    <w:link w:val="1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5E7CD-DF5A-42C4-89BD-14AA8AB431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2769</Words>
  <Characters>15784</Characters>
  <Lines>131</Lines>
  <Paragraphs>37</Paragraphs>
  <TotalTime>1</TotalTime>
  <ScaleCrop>false</ScaleCrop>
  <LinksUpToDate>false</LinksUpToDate>
  <CharactersWithSpaces>18516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2019-10-10T01:56:00Z</dcterms:created>
  <dc:creator>李永红</dc:creator>
  <cp:lastModifiedBy>微信用户</cp:lastModifiedBy>
  <cp:lastPrinted>2021-07-15T02:03:00Z</cp:lastPrinted>
  <dcterms:modified xsi:type="dcterms:W3CDTF">2021-07-15T08:07:51Z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